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62C" w:rsidRPr="00DA7BB0" w:rsidRDefault="0085362C" w:rsidP="0085362C">
      <w:pPr>
        <w:jc w:val="center"/>
        <w:rPr>
          <w:rFonts w:ascii="Calibri" w:hAnsi="Calibri"/>
          <w:b/>
          <w:color w:val="002060"/>
          <w:sz w:val="22"/>
          <w:szCs w:val="22"/>
        </w:rPr>
      </w:pPr>
      <w:r w:rsidRPr="00DA7BB0">
        <w:rPr>
          <w:rFonts w:ascii="Calibri" w:hAnsi="Calibri"/>
          <w:b/>
          <w:color w:val="002060"/>
          <w:sz w:val="22"/>
          <w:szCs w:val="22"/>
        </w:rPr>
        <w:t>Platinum Membership</w:t>
      </w:r>
    </w:p>
    <w:p w:rsidR="0085362C" w:rsidRPr="00DA7BB0" w:rsidRDefault="0085362C" w:rsidP="0085362C">
      <w:pPr>
        <w:jc w:val="center"/>
        <w:rPr>
          <w:rFonts w:ascii="Calibri" w:hAnsi="Calibri"/>
          <w:b/>
          <w:color w:val="002060"/>
          <w:sz w:val="22"/>
          <w:szCs w:val="22"/>
        </w:rPr>
      </w:pPr>
    </w:p>
    <w:p w:rsidR="0085362C" w:rsidRPr="00DA7BB0" w:rsidRDefault="0085362C" w:rsidP="0085362C">
      <w:pPr>
        <w:jc w:val="center"/>
        <w:rPr>
          <w:rFonts w:ascii="Calibri" w:hAnsi="Calibri"/>
          <w:b/>
          <w:color w:val="002060"/>
          <w:sz w:val="22"/>
          <w:szCs w:val="22"/>
        </w:rPr>
      </w:pPr>
      <w:r w:rsidRPr="00DA7BB0">
        <w:rPr>
          <w:rFonts w:ascii="Calibri" w:hAnsi="Calibri"/>
          <w:b/>
          <w:color w:val="002060"/>
          <w:sz w:val="22"/>
          <w:szCs w:val="22"/>
        </w:rPr>
        <w:t>A New Approach</w:t>
      </w:r>
    </w:p>
    <w:p w:rsidR="0085362C" w:rsidRPr="00DA7BB0" w:rsidRDefault="0085362C" w:rsidP="0085362C">
      <w:pPr>
        <w:jc w:val="center"/>
        <w:rPr>
          <w:rFonts w:ascii="Calibri" w:hAnsi="Calibri"/>
          <w:color w:val="002060"/>
          <w:sz w:val="22"/>
          <w:szCs w:val="22"/>
        </w:rPr>
      </w:pPr>
    </w:p>
    <w:p w:rsidR="0085362C" w:rsidRPr="00DA7BB0" w:rsidRDefault="0085362C" w:rsidP="0085362C">
      <w:pPr>
        <w:pStyle w:val="ListParagraph"/>
        <w:numPr>
          <w:ilvl w:val="0"/>
          <w:numId w:val="1"/>
        </w:numPr>
        <w:ind w:left="360"/>
        <w:rPr>
          <w:rFonts w:ascii="Calibri" w:hAnsi="Calibri"/>
          <w:b/>
          <w:color w:val="002060"/>
          <w:sz w:val="22"/>
          <w:szCs w:val="22"/>
        </w:rPr>
      </w:pPr>
      <w:r w:rsidRPr="00DA7BB0">
        <w:rPr>
          <w:rFonts w:ascii="Calibri" w:hAnsi="Calibri"/>
          <w:b/>
          <w:color w:val="002060"/>
          <w:sz w:val="22"/>
          <w:szCs w:val="22"/>
        </w:rPr>
        <w:t>Background/Objectives</w:t>
      </w:r>
    </w:p>
    <w:p w:rsidR="0085362C" w:rsidRPr="00DA7BB0" w:rsidRDefault="0085362C" w:rsidP="0085362C">
      <w:pPr>
        <w:rPr>
          <w:rFonts w:ascii="Calibri" w:hAnsi="Calibri"/>
          <w:b/>
          <w:color w:val="002060"/>
          <w:sz w:val="22"/>
          <w:szCs w:val="22"/>
        </w:rPr>
      </w:pPr>
    </w:p>
    <w:p w:rsidR="0085362C" w:rsidRPr="00DA7BB0" w:rsidRDefault="0085362C" w:rsidP="0085362C">
      <w:pPr>
        <w:pStyle w:val="ListParagraph"/>
        <w:numPr>
          <w:ilvl w:val="1"/>
          <w:numId w:val="1"/>
        </w:numPr>
        <w:ind w:left="720"/>
        <w:jc w:val="both"/>
        <w:rPr>
          <w:rFonts w:ascii="Calibri" w:hAnsi="Calibri"/>
          <w:color w:val="002060"/>
          <w:sz w:val="22"/>
          <w:szCs w:val="22"/>
        </w:rPr>
      </w:pPr>
      <w:r w:rsidRPr="00DA7BB0">
        <w:rPr>
          <w:rFonts w:ascii="Calibri" w:hAnsi="Calibri"/>
          <w:color w:val="002060"/>
          <w:sz w:val="22"/>
          <w:szCs w:val="22"/>
        </w:rPr>
        <w:t>This paper follows on from discussions at the ECF Council meeting in April about the structure of platinum membership</w:t>
      </w:r>
    </w:p>
    <w:p w:rsidR="0085362C" w:rsidRPr="00DA7BB0" w:rsidRDefault="0085362C" w:rsidP="0085362C">
      <w:pPr>
        <w:pStyle w:val="ListParagraph"/>
        <w:rPr>
          <w:rFonts w:ascii="Calibri" w:hAnsi="Calibri"/>
          <w:color w:val="002060"/>
          <w:sz w:val="22"/>
          <w:szCs w:val="22"/>
        </w:rPr>
      </w:pPr>
    </w:p>
    <w:p w:rsidR="0085362C" w:rsidRPr="00DA7BB0" w:rsidRDefault="0085362C" w:rsidP="0085362C">
      <w:pPr>
        <w:pStyle w:val="ListParagraph"/>
        <w:numPr>
          <w:ilvl w:val="1"/>
          <w:numId w:val="1"/>
        </w:numPr>
        <w:ind w:left="720"/>
        <w:jc w:val="both"/>
        <w:rPr>
          <w:rFonts w:ascii="Calibri" w:hAnsi="Calibri"/>
          <w:color w:val="002060"/>
          <w:sz w:val="22"/>
          <w:szCs w:val="22"/>
        </w:rPr>
      </w:pPr>
      <w:r w:rsidRPr="00DA7BB0">
        <w:rPr>
          <w:rFonts w:ascii="Calibri" w:hAnsi="Calibri"/>
          <w:color w:val="002060"/>
          <w:sz w:val="22"/>
          <w:szCs w:val="22"/>
        </w:rPr>
        <w:t>The question was raised as to whether, given that platinum membership offers little by way of tangible benefit, it could be restructured to recognise that it is in part a way for ECF members to make a voluntary donation for the benefit of chess in England.</w:t>
      </w:r>
    </w:p>
    <w:p w:rsidR="0085362C" w:rsidRPr="00DA7BB0" w:rsidRDefault="0085362C" w:rsidP="0085362C">
      <w:pPr>
        <w:rPr>
          <w:rFonts w:ascii="Calibri" w:hAnsi="Calibri"/>
          <w:b/>
          <w:color w:val="002060"/>
          <w:sz w:val="22"/>
          <w:szCs w:val="22"/>
        </w:rPr>
      </w:pPr>
    </w:p>
    <w:p w:rsidR="0085362C" w:rsidRPr="00DA7BB0" w:rsidRDefault="0085362C" w:rsidP="0085362C">
      <w:pPr>
        <w:pStyle w:val="ListParagraph"/>
        <w:numPr>
          <w:ilvl w:val="0"/>
          <w:numId w:val="1"/>
        </w:numPr>
        <w:ind w:left="360"/>
        <w:rPr>
          <w:rFonts w:ascii="Calibri" w:hAnsi="Calibri"/>
          <w:b/>
          <w:color w:val="002060"/>
          <w:sz w:val="22"/>
          <w:szCs w:val="22"/>
        </w:rPr>
      </w:pPr>
      <w:r w:rsidRPr="00DA7BB0">
        <w:rPr>
          <w:rFonts w:ascii="Calibri" w:hAnsi="Calibri"/>
          <w:b/>
          <w:color w:val="002060"/>
          <w:sz w:val="22"/>
          <w:szCs w:val="22"/>
        </w:rPr>
        <w:t>Outline Proposal</w:t>
      </w:r>
    </w:p>
    <w:p w:rsidR="0085362C" w:rsidRPr="00DA7BB0" w:rsidRDefault="0085362C" w:rsidP="0085362C">
      <w:pPr>
        <w:rPr>
          <w:rFonts w:ascii="Calibri" w:hAnsi="Calibri"/>
          <w:b/>
          <w:color w:val="002060"/>
          <w:sz w:val="22"/>
          <w:szCs w:val="22"/>
        </w:rPr>
      </w:pPr>
    </w:p>
    <w:p w:rsidR="0085362C" w:rsidRPr="00DA7BB0" w:rsidRDefault="0085362C" w:rsidP="0085362C">
      <w:pPr>
        <w:pStyle w:val="ListParagraph"/>
        <w:numPr>
          <w:ilvl w:val="1"/>
          <w:numId w:val="1"/>
        </w:numPr>
        <w:ind w:left="720"/>
        <w:jc w:val="both"/>
        <w:rPr>
          <w:rFonts w:ascii="Calibri" w:hAnsi="Calibri"/>
          <w:color w:val="002060"/>
          <w:sz w:val="22"/>
          <w:szCs w:val="22"/>
        </w:rPr>
      </w:pPr>
      <w:r w:rsidRPr="00DA7BB0">
        <w:rPr>
          <w:rFonts w:ascii="Calibri" w:hAnsi="Calibri"/>
          <w:color w:val="002060"/>
          <w:sz w:val="22"/>
          <w:szCs w:val="22"/>
        </w:rPr>
        <w:t>To start with a negative, it should be made clear that there is no intention to seek charitable status for the ECF.   I do not wish to re-open that debate and I do not see that it could be obtained anyway.</w:t>
      </w:r>
    </w:p>
    <w:p w:rsidR="0085362C" w:rsidRPr="00DA7BB0" w:rsidRDefault="0085362C" w:rsidP="0085362C">
      <w:pPr>
        <w:pStyle w:val="ListParagraph"/>
        <w:jc w:val="both"/>
        <w:rPr>
          <w:rFonts w:ascii="Calibri" w:hAnsi="Calibri"/>
          <w:color w:val="002060"/>
          <w:sz w:val="22"/>
          <w:szCs w:val="22"/>
        </w:rPr>
      </w:pPr>
    </w:p>
    <w:p w:rsidR="0085362C" w:rsidRPr="00DA7BB0" w:rsidRDefault="0085362C" w:rsidP="0085362C">
      <w:pPr>
        <w:pStyle w:val="ListParagraph"/>
        <w:numPr>
          <w:ilvl w:val="1"/>
          <w:numId w:val="1"/>
        </w:numPr>
        <w:ind w:left="720"/>
        <w:jc w:val="both"/>
        <w:rPr>
          <w:rFonts w:ascii="Calibri" w:hAnsi="Calibri"/>
          <w:color w:val="002060"/>
          <w:sz w:val="22"/>
          <w:szCs w:val="22"/>
        </w:rPr>
      </w:pPr>
      <w:r w:rsidRPr="00DA7BB0">
        <w:rPr>
          <w:rFonts w:ascii="Calibri" w:hAnsi="Calibri"/>
          <w:color w:val="002060"/>
          <w:sz w:val="22"/>
          <w:szCs w:val="22"/>
        </w:rPr>
        <w:t>Also, there is no current intention to seek to convert any element of the bronze, silver or gold memberships into charitable donations.   These membership levels reflect different levels of service provision and provide one of the main sources of income for the ECF.    One of the hallmarks of charitable donations is that they are essentially gratuitous which is not consistent with being linked to service provision.</w:t>
      </w:r>
    </w:p>
    <w:p w:rsidR="005A6A0E" w:rsidRPr="00DA7BB0" w:rsidRDefault="005A6A0E" w:rsidP="005A6A0E">
      <w:pPr>
        <w:pStyle w:val="ListParagraph"/>
        <w:rPr>
          <w:rFonts w:ascii="Calibri" w:hAnsi="Calibri"/>
          <w:color w:val="002060"/>
          <w:sz w:val="22"/>
          <w:szCs w:val="22"/>
        </w:rPr>
      </w:pPr>
    </w:p>
    <w:p w:rsidR="0085362C" w:rsidRPr="00DA7BB0" w:rsidRDefault="0085362C" w:rsidP="0085362C">
      <w:pPr>
        <w:pStyle w:val="ListParagraph"/>
        <w:numPr>
          <w:ilvl w:val="1"/>
          <w:numId w:val="1"/>
        </w:numPr>
        <w:ind w:left="720"/>
        <w:jc w:val="both"/>
        <w:rPr>
          <w:rFonts w:ascii="Calibri" w:hAnsi="Calibri"/>
          <w:color w:val="002060"/>
          <w:sz w:val="22"/>
          <w:szCs w:val="22"/>
        </w:rPr>
      </w:pPr>
      <w:r w:rsidRPr="00DA7BB0">
        <w:rPr>
          <w:rFonts w:ascii="Calibri" w:hAnsi="Calibri"/>
          <w:color w:val="002060"/>
          <w:sz w:val="22"/>
          <w:szCs w:val="22"/>
        </w:rPr>
        <w:t>However, we would like to convert platinum memberships into charitable donations to the Chess Trust to the extent that the membership fee exceeds the gold subscription.</w:t>
      </w:r>
    </w:p>
    <w:p w:rsidR="005A6A0E" w:rsidRPr="00DA7BB0" w:rsidRDefault="005A6A0E" w:rsidP="005A6A0E">
      <w:pPr>
        <w:pStyle w:val="ListParagraph"/>
        <w:rPr>
          <w:rFonts w:ascii="Calibri" w:hAnsi="Calibri"/>
          <w:color w:val="002060"/>
          <w:sz w:val="22"/>
          <w:szCs w:val="22"/>
        </w:rPr>
      </w:pPr>
    </w:p>
    <w:p w:rsidR="0085362C" w:rsidRPr="00DA7BB0" w:rsidRDefault="0085362C" w:rsidP="0085362C">
      <w:pPr>
        <w:pStyle w:val="ListParagraph"/>
        <w:numPr>
          <w:ilvl w:val="1"/>
          <w:numId w:val="1"/>
        </w:numPr>
        <w:ind w:left="720"/>
        <w:jc w:val="both"/>
        <w:rPr>
          <w:rFonts w:ascii="Calibri" w:hAnsi="Calibri"/>
          <w:color w:val="002060"/>
          <w:sz w:val="22"/>
          <w:szCs w:val="22"/>
        </w:rPr>
      </w:pPr>
      <w:r w:rsidRPr="00DA7BB0">
        <w:rPr>
          <w:rFonts w:ascii="Calibri" w:hAnsi="Calibri"/>
          <w:color w:val="002060"/>
          <w:sz w:val="22"/>
          <w:szCs w:val="22"/>
        </w:rPr>
        <w:t xml:space="preserve">The </w:t>
      </w:r>
      <w:r w:rsidR="005A6A0E" w:rsidRPr="00DA7BB0">
        <w:rPr>
          <w:rFonts w:ascii="Calibri" w:hAnsi="Calibri"/>
          <w:color w:val="002060"/>
          <w:sz w:val="22"/>
          <w:szCs w:val="22"/>
        </w:rPr>
        <w:t xml:space="preserve">suggested </w:t>
      </w:r>
      <w:r w:rsidRPr="00DA7BB0">
        <w:rPr>
          <w:rFonts w:ascii="Calibri" w:hAnsi="Calibri"/>
          <w:color w:val="002060"/>
          <w:sz w:val="22"/>
          <w:szCs w:val="22"/>
        </w:rPr>
        <w:t>approach to achieve this would be:</w:t>
      </w:r>
    </w:p>
    <w:p w:rsidR="005A6A0E" w:rsidRPr="00DA7BB0" w:rsidRDefault="005A6A0E" w:rsidP="005A6A0E">
      <w:pPr>
        <w:pStyle w:val="ListParagraph"/>
        <w:rPr>
          <w:rFonts w:ascii="Calibri" w:hAnsi="Calibri"/>
          <w:color w:val="002060"/>
          <w:sz w:val="22"/>
          <w:szCs w:val="22"/>
        </w:rPr>
      </w:pPr>
    </w:p>
    <w:p w:rsidR="005A6A0E" w:rsidRPr="00DA7BB0" w:rsidRDefault="005A6A0E" w:rsidP="005A6A0E">
      <w:pPr>
        <w:pStyle w:val="ListParagraph"/>
        <w:numPr>
          <w:ilvl w:val="0"/>
          <w:numId w:val="3"/>
        </w:numPr>
        <w:ind w:left="1080"/>
        <w:jc w:val="both"/>
        <w:rPr>
          <w:color w:val="002060"/>
        </w:rPr>
      </w:pPr>
      <w:r w:rsidRPr="00DA7BB0">
        <w:rPr>
          <w:rFonts w:ascii="Calibri" w:hAnsi="Calibri"/>
          <w:color w:val="002060"/>
          <w:sz w:val="22"/>
          <w:szCs w:val="22"/>
        </w:rPr>
        <w:t>There is no platinum membership as such in the sense of paying a membership fee in return for services.</w:t>
      </w:r>
    </w:p>
    <w:p w:rsidR="005A6A0E" w:rsidRPr="00DA7BB0" w:rsidRDefault="005A6A0E" w:rsidP="005A6A0E">
      <w:pPr>
        <w:pStyle w:val="ListParagraph"/>
        <w:ind w:left="1080"/>
        <w:rPr>
          <w:color w:val="002060"/>
        </w:rPr>
      </w:pPr>
    </w:p>
    <w:p w:rsidR="005A6A0E" w:rsidRPr="00DA7BB0" w:rsidRDefault="005A6A0E" w:rsidP="005A6A0E">
      <w:pPr>
        <w:pStyle w:val="ListParagraph"/>
        <w:numPr>
          <w:ilvl w:val="0"/>
          <w:numId w:val="3"/>
        </w:numPr>
        <w:ind w:left="1080"/>
        <w:jc w:val="both"/>
        <w:rPr>
          <w:color w:val="002060"/>
        </w:rPr>
      </w:pPr>
      <w:r w:rsidRPr="00DA7BB0">
        <w:rPr>
          <w:rFonts w:ascii="Calibri" w:hAnsi="Calibri"/>
          <w:color w:val="002060"/>
          <w:sz w:val="22"/>
          <w:szCs w:val="22"/>
        </w:rPr>
        <w:t>The only service which platinum members receive which is not provided to gold members is a free copy of the ECF Yearbook.   Under the revised approach, where a gold member upgrades to platinum, the upgrade results from a donation to the Chess Trust with the ECF providing a copy of the yearbook on a discretionary basis.    In that case, there is no service received by the member from the Chess Trust in return for the upgrade donation.</w:t>
      </w:r>
    </w:p>
    <w:p w:rsidR="005A6A0E" w:rsidRPr="00DA7BB0" w:rsidRDefault="005A6A0E" w:rsidP="005A6A0E">
      <w:pPr>
        <w:jc w:val="both"/>
        <w:rPr>
          <w:color w:val="002060"/>
        </w:rPr>
      </w:pPr>
    </w:p>
    <w:p w:rsidR="005A6A0E" w:rsidRPr="00DA7BB0" w:rsidRDefault="005A6A0E" w:rsidP="005A6A0E">
      <w:pPr>
        <w:pStyle w:val="ListParagraph"/>
        <w:numPr>
          <w:ilvl w:val="1"/>
          <w:numId w:val="1"/>
        </w:numPr>
        <w:ind w:left="720"/>
        <w:jc w:val="both"/>
        <w:rPr>
          <w:color w:val="002060"/>
        </w:rPr>
      </w:pPr>
      <w:r w:rsidRPr="00DA7BB0">
        <w:rPr>
          <w:rFonts w:ascii="Calibri" w:hAnsi="Calibri"/>
          <w:color w:val="002060"/>
          <w:sz w:val="22"/>
          <w:szCs w:val="22"/>
        </w:rPr>
        <w:t xml:space="preserve">The intended effect is that there would be no service provided by the Chess Trust so from its point of view, it is receiving a donation for no consideration which should not undermine either its charitable status nor </w:t>
      </w:r>
      <w:proofErr w:type="gramStart"/>
      <w:r w:rsidRPr="00DA7BB0">
        <w:rPr>
          <w:rFonts w:ascii="Calibri" w:hAnsi="Calibri"/>
          <w:color w:val="002060"/>
          <w:sz w:val="22"/>
          <w:szCs w:val="22"/>
        </w:rPr>
        <w:t>prevent</w:t>
      </w:r>
      <w:proofErr w:type="gramEnd"/>
      <w:r w:rsidRPr="00DA7BB0">
        <w:rPr>
          <w:rFonts w:ascii="Calibri" w:hAnsi="Calibri"/>
          <w:color w:val="002060"/>
          <w:sz w:val="22"/>
          <w:szCs w:val="22"/>
        </w:rPr>
        <w:t xml:space="preserve"> the donation being deductible for the individual making the payment</w:t>
      </w:r>
      <w:r w:rsidRPr="00DA7BB0">
        <w:rPr>
          <w:color w:val="002060"/>
        </w:rPr>
        <w:t xml:space="preserve"> </w:t>
      </w:r>
    </w:p>
    <w:p w:rsidR="0085362C" w:rsidRPr="00DA7BB0" w:rsidRDefault="0085362C" w:rsidP="0085362C">
      <w:pPr>
        <w:pStyle w:val="ListParagraph"/>
        <w:rPr>
          <w:rFonts w:ascii="Calibri" w:hAnsi="Calibri"/>
          <w:b/>
          <w:color w:val="002060"/>
          <w:sz w:val="22"/>
          <w:szCs w:val="22"/>
        </w:rPr>
      </w:pPr>
    </w:p>
    <w:p w:rsidR="005A6A0E" w:rsidRPr="00DA7BB0" w:rsidRDefault="005A6A0E" w:rsidP="0085362C">
      <w:pPr>
        <w:pStyle w:val="ListParagraph"/>
        <w:numPr>
          <w:ilvl w:val="0"/>
          <w:numId w:val="1"/>
        </w:numPr>
        <w:ind w:left="360"/>
        <w:rPr>
          <w:rFonts w:ascii="Calibri" w:hAnsi="Calibri"/>
          <w:b/>
          <w:color w:val="002060"/>
          <w:sz w:val="22"/>
          <w:szCs w:val="22"/>
        </w:rPr>
      </w:pPr>
      <w:r w:rsidRPr="00DA7BB0">
        <w:rPr>
          <w:rFonts w:ascii="Calibri" w:hAnsi="Calibri"/>
          <w:b/>
          <w:color w:val="002060"/>
          <w:sz w:val="22"/>
          <w:szCs w:val="22"/>
        </w:rPr>
        <w:t>Benefits</w:t>
      </w:r>
    </w:p>
    <w:p w:rsidR="005A6A0E" w:rsidRPr="00DA7BB0" w:rsidRDefault="005A6A0E" w:rsidP="005A6A0E">
      <w:pPr>
        <w:rPr>
          <w:rFonts w:ascii="Calibri" w:hAnsi="Calibri"/>
          <w:b/>
          <w:color w:val="002060"/>
          <w:sz w:val="22"/>
          <w:szCs w:val="22"/>
        </w:rPr>
      </w:pPr>
    </w:p>
    <w:p w:rsidR="005A6A0E" w:rsidRPr="00DA7BB0" w:rsidRDefault="005A6A0E" w:rsidP="00DB2DDD">
      <w:pPr>
        <w:rPr>
          <w:rFonts w:ascii="Calibri" w:hAnsi="Calibri"/>
          <w:i/>
          <w:color w:val="002060"/>
          <w:sz w:val="22"/>
          <w:szCs w:val="22"/>
        </w:rPr>
      </w:pPr>
      <w:r w:rsidRPr="00DA7BB0">
        <w:rPr>
          <w:rFonts w:ascii="Calibri" w:hAnsi="Calibri"/>
          <w:i/>
          <w:color w:val="002060"/>
          <w:sz w:val="22"/>
          <w:szCs w:val="22"/>
        </w:rPr>
        <w:t>Nature of the Payments</w:t>
      </w:r>
    </w:p>
    <w:p w:rsidR="005A6A0E" w:rsidRPr="00DA7BB0" w:rsidRDefault="005A6A0E" w:rsidP="00DB2DDD">
      <w:pPr>
        <w:rPr>
          <w:rFonts w:ascii="Calibri" w:hAnsi="Calibri"/>
          <w:b/>
          <w:color w:val="002060"/>
          <w:sz w:val="22"/>
          <w:szCs w:val="22"/>
        </w:rPr>
      </w:pPr>
    </w:p>
    <w:p w:rsidR="005A6A0E" w:rsidRPr="00DA7BB0" w:rsidRDefault="005A6A0E" w:rsidP="00DB2DDD">
      <w:pPr>
        <w:pStyle w:val="ListParagraph"/>
        <w:numPr>
          <w:ilvl w:val="1"/>
          <w:numId w:val="1"/>
        </w:numPr>
        <w:ind w:left="720"/>
        <w:jc w:val="both"/>
        <w:rPr>
          <w:rFonts w:ascii="Calibri" w:hAnsi="Calibri"/>
          <w:color w:val="002060"/>
          <w:sz w:val="22"/>
          <w:szCs w:val="22"/>
        </w:rPr>
      </w:pPr>
      <w:r w:rsidRPr="00DA7BB0">
        <w:rPr>
          <w:rFonts w:ascii="Calibri" w:hAnsi="Calibri"/>
          <w:color w:val="002060"/>
          <w:sz w:val="22"/>
          <w:szCs w:val="22"/>
        </w:rPr>
        <w:t>While there are tax benefits, this approach recognises the nature of platinum membership for what it is, namely a mechanism to allow voluntary payments to be made to support English Chess.</w:t>
      </w:r>
    </w:p>
    <w:p w:rsidR="005A6A0E" w:rsidRPr="00DA7BB0" w:rsidRDefault="005A6A0E" w:rsidP="00DB2DDD">
      <w:pPr>
        <w:pStyle w:val="ListParagraph"/>
        <w:numPr>
          <w:ilvl w:val="1"/>
          <w:numId w:val="1"/>
        </w:numPr>
        <w:ind w:left="720"/>
        <w:jc w:val="both"/>
        <w:rPr>
          <w:rFonts w:ascii="Calibri" w:hAnsi="Calibri"/>
          <w:color w:val="002060"/>
          <w:sz w:val="22"/>
          <w:szCs w:val="22"/>
        </w:rPr>
      </w:pPr>
      <w:r w:rsidRPr="00DA7BB0">
        <w:rPr>
          <w:rFonts w:ascii="Calibri" w:hAnsi="Calibri"/>
          <w:color w:val="002060"/>
          <w:sz w:val="22"/>
          <w:szCs w:val="22"/>
        </w:rPr>
        <w:lastRenderedPageBreak/>
        <w:t>It also results in greater flexibility of payment amount – a minimum level for recognition as a platinum member would need to be set but higher contributions could be accepted and factored into the donation forms.</w:t>
      </w:r>
    </w:p>
    <w:p w:rsidR="005A6A0E" w:rsidRPr="00DA7BB0" w:rsidRDefault="005A6A0E" w:rsidP="00DB2DDD">
      <w:pPr>
        <w:jc w:val="both"/>
        <w:rPr>
          <w:rFonts w:ascii="Calibri" w:hAnsi="Calibri"/>
          <w:color w:val="002060"/>
          <w:sz w:val="22"/>
          <w:szCs w:val="22"/>
        </w:rPr>
      </w:pPr>
    </w:p>
    <w:p w:rsidR="005A6A0E" w:rsidRPr="00DA7BB0" w:rsidRDefault="00DB2DDD" w:rsidP="00DB2DDD">
      <w:pPr>
        <w:jc w:val="both"/>
        <w:rPr>
          <w:rFonts w:ascii="Calibri" w:hAnsi="Calibri"/>
          <w:i/>
          <w:color w:val="002060"/>
          <w:sz w:val="22"/>
          <w:szCs w:val="22"/>
        </w:rPr>
      </w:pPr>
      <w:r w:rsidRPr="00DA7BB0">
        <w:rPr>
          <w:rFonts w:ascii="Calibri" w:hAnsi="Calibri"/>
          <w:i/>
          <w:color w:val="002060"/>
          <w:sz w:val="22"/>
          <w:szCs w:val="22"/>
        </w:rPr>
        <w:t>Tax</w:t>
      </w:r>
    </w:p>
    <w:p w:rsidR="005A6A0E" w:rsidRPr="00DA7BB0" w:rsidRDefault="005A6A0E" w:rsidP="00DB2DDD">
      <w:pPr>
        <w:jc w:val="both"/>
        <w:rPr>
          <w:rFonts w:ascii="Calibri" w:hAnsi="Calibri"/>
          <w:color w:val="002060"/>
          <w:sz w:val="22"/>
          <w:szCs w:val="22"/>
        </w:rPr>
      </w:pPr>
    </w:p>
    <w:p w:rsidR="00DB2DDD" w:rsidRPr="00DA7BB0" w:rsidRDefault="00DB2DDD" w:rsidP="00DB2DDD">
      <w:pPr>
        <w:pStyle w:val="ListParagraph"/>
        <w:numPr>
          <w:ilvl w:val="1"/>
          <w:numId w:val="1"/>
        </w:numPr>
        <w:ind w:left="720"/>
        <w:jc w:val="both"/>
        <w:rPr>
          <w:rFonts w:ascii="Calibri" w:hAnsi="Calibri"/>
          <w:color w:val="002060"/>
          <w:sz w:val="22"/>
          <w:szCs w:val="22"/>
        </w:rPr>
      </w:pPr>
      <w:r w:rsidRPr="00DA7BB0">
        <w:rPr>
          <w:rFonts w:ascii="Calibri" w:hAnsi="Calibri"/>
          <w:color w:val="002060"/>
          <w:sz w:val="22"/>
          <w:szCs w:val="22"/>
        </w:rPr>
        <w:t>In addition, there are tax benefits:</w:t>
      </w:r>
    </w:p>
    <w:p w:rsidR="00DB2DDD" w:rsidRPr="00DA7BB0" w:rsidRDefault="00DB2DDD" w:rsidP="00DB2DDD">
      <w:pPr>
        <w:pStyle w:val="ListParagraph"/>
        <w:jc w:val="both"/>
        <w:rPr>
          <w:rFonts w:asciiTheme="minorHAnsi" w:hAnsiTheme="minorHAnsi"/>
          <w:color w:val="002060"/>
          <w:sz w:val="22"/>
          <w:szCs w:val="22"/>
        </w:rPr>
      </w:pPr>
    </w:p>
    <w:p w:rsidR="00DB2DDD" w:rsidRPr="00DA7BB0" w:rsidRDefault="00DB2DDD" w:rsidP="00DB2DDD">
      <w:pPr>
        <w:pStyle w:val="ListBullet"/>
        <w:numPr>
          <w:ilvl w:val="0"/>
          <w:numId w:val="5"/>
        </w:numPr>
        <w:ind w:left="1080"/>
        <w:jc w:val="both"/>
        <w:rPr>
          <w:rFonts w:asciiTheme="minorHAnsi" w:hAnsiTheme="minorHAnsi"/>
          <w:color w:val="002060"/>
          <w:sz w:val="22"/>
          <w:szCs w:val="22"/>
        </w:rPr>
      </w:pPr>
      <w:r w:rsidRPr="00DA7BB0">
        <w:rPr>
          <w:rFonts w:asciiTheme="minorHAnsi" w:hAnsiTheme="minorHAnsi"/>
          <w:color w:val="002060"/>
          <w:sz w:val="22"/>
          <w:szCs w:val="22"/>
        </w:rPr>
        <w:t>The contributions should be tax deductible for the payer.</w:t>
      </w:r>
    </w:p>
    <w:p w:rsidR="00DB2DDD" w:rsidRPr="00DA7BB0" w:rsidRDefault="00DB2DDD" w:rsidP="00DB2DDD">
      <w:pPr>
        <w:pStyle w:val="ListBullet"/>
        <w:ind w:left="1080"/>
        <w:jc w:val="both"/>
        <w:rPr>
          <w:rFonts w:asciiTheme="minorHAnsi" w:hAnsiTheme="minorHAnsi"/>
          <w:color w:val="002060"/>
          <w:sz w:val="22"/>
          <w:szCs w:val="22"/>
        </w:rPr>
      </w:pPr>
    </w:p>
    <w:p w:rsidR="00DB2DDD" w:rsidRPr="00DA7BB0" w:rsidRDefault="00DB2DDD" w:rsidP="00DB2DDD">
      <w:pPr>
        <w:pStyle w:val="ListBullet"/>
        <w:numPr>
          <w:ilvl w:val="0"/>
          <w:numId w:val="5"/>
        </w:numPr>
        <w:ind w:left="1080"/>
        <w:jc w:val="both"/>
        <w:rPr>
          <w:rFonts w:asciiTheme="minorHAnsi" w:hAnsiTheme="minorHAnsi"/>
          <w:color w:val="002060"/>
          <w:sz w:val="22"/>
          <w:szCs w:val="22"/>
        </w:rPr>
      </w:pPr>
      <w:r w:rsidRPr="00DA7BB0">
        <w:rPr>
          <w:rFonts w:asciiTheme="minorHAnsi" w:hAnsiTheme="minorHAnsi"/>
          <w:color w:val="002060"/>
          <w:sz w:val="22"/>
          <w:szCs w:val="22"/>
        </w:rPr>
        <w:t>The receipt should not be taxable for the Chess Trust.</w:t>
      </w:r>
    </w:p>
    <w:p w:rsidR="00DB2DDD" w:rsidRPr="00DA7BB0" w:rsidRDefault="00DB2DDD" w:rsidP="00DB2DDD">
      <w:pPr>
        <w:pStyle w:val="ListParagraph"/>
        <w:ind w:left="360"/>
        <w:rPr>
          <w:rFonts w:asciiTheme="minorHAnsi" w:hAnsiTheme="minorHAnsi"/>
          <w:color w:val="002060"/>
          <w:sz w:val="22"/>
          <w:szCs w:val="22"/>
        </w:rPr>
      </w:pPr>
    </w:p>
    <w:p w:rsidR="00DB2DDD" w:rsidRPr="00DA7BB0" w:rsidRDefault="00DB2DDD" w:rsidP="00DB2DDD">
      <w:pPr>
        <w:pStyle w:val="ListBullet"/>
        <w:numPr>
          <w:ilvl w:val="0"/>
          <w:numId w:val="5"/>
        </w:numPr>
        <w:ind w:left="1080"/>
        <w:jc w:val="both"/>
        <w:rPr>
          <w:rFonts w:asciiTheme="minorHAnsi" w:hAnsiTheme="minorHAnsi"/>
          <w:color w:val="002060"/>
          <w:sz w:val="22"/>
          <w:szCs w:val="22"/>
        </w:rPr>
      </w:pPr>
      <w:r w:rsidRPr="00DA7BB0">
        <w:rPr>
          <w:rFonts w:asciiTheme="minorHAnsi" w:hAnsiTheme="minorHAnsi"/>
          <w:color w:val="002060"/>
          <w:sz w:val="22"/>
          <w:szCs w:val="22"/>
        </w:rPr>
        <w:t xml:space="preserve">The payments should not attract VAT (irrespective of the impact of the </w:t>
      </w:r>
      <w:proofErr w:type="spellStart"/>
      <w:r w:rsidRPr="00DA7BB0">
        <w:rPr>
          <w:rFonts w:asciiTheme="minorHAnsi" w:hAnsiTheme="minorHAnsi"/>
          <w:color w:val="002060"/>
          <w:sz w:val="22"/>
          <w:szCs w:val="22"/>
        </w:rPr>
        <w:t>ECJ</w:t>
      </w:r>
      <w:proofErr w:type="spellEnd"/>
      <w:r w:rsidRPr="00DA7BB0">
        <w:rPr>
          <w:rFonts w:asciiTheme="minorHAnsi" w:hAnsiTheme="minorHAnsi"/>
          <w:color w:val="002060"/>
          <w:sz w:val="22"/>
          <w:szCs w:val="22"/>
        </w:rPr>
        <w:t xml:space="preserve"> decision).</w:t>
      </w:r>
    </w:p>
    <w:p w:rsidR="00DB2DDD" w:rsidRPr="00DA7BB0" w:rsidRDefault="00DB2DDD" w:rsidP="00DB2DDD">
      <w:pPr>
        <w:pStyle w:val="ListParagraph"/>
        <w:ind w:left="1080"/>
        <w:jc w:val="both"/>
        <w:rPr>
          <w:rFonts w:ascii="Calibri" w:hAnsi="Calibri"/>
          <w:color w:val="002060"/>
          <w:sz w:val="22"/>
          <w:szCs w:val="22"/>
        </w:rPr>
      </w:pPr>
    </w:p>
    <w:p w:rsidR="0085362C" w:rsidRPr="00DA7BB0" w:rsidRDefault="0085362C" w:rsidP="0085362C">
      <w:pPr>
        <w:pStyle w:val="ListParagraph"/>
        <w:numPr>
          <w:ilvl w:val="0"/>
          <w:numId w:val="1"/>
        </w:numPr>
        <w:ind w:left="360"/>
        <w:rPr>
          <w:rFonts w:ascii="Calibri" w:hAnsi="Calibri"/>
          <w:b/>
          <w:color w:val="002060"/>
          <w:sz w:val="22"/>
          <w:szCs w:val="22"/>
        </w:rPr>
      </w:pPr>
      <w:r w:rsidRPr="00DA7BB0">
        <w:rPr>
          <w:rFonts w:ascii="Calibri" w:hAnsi="Calibri"/>
          <w:b/>
          <w:color w:val="002060"/>
          <w:sz w:val="22"/>
          <w:szCs w:val="22"/>
        </w:rPr>
        <w:t>Impact Assessment</w:t>
      </w:r>
    </w:p>
    <w:p w:rsidR="00DB2DDD" w:rsidRPr="00DA7BB0" w:rsidRDefault="00DB2DDD" w:rsidP="00DB2DDD">
      <w:pPr>
        <w:rPr>
          <w:rFonts w:ascii="Calibri" w:hAnsi="Calibri"/>
          <w:b/>
          <w:color w:val="002060"/>
          <w:sz w:val="22"/>
          <w:szCs w:val="22"/>
        </w:rPr>
      </w:pPr>
    </w:p>
    <w:p w:rsidR="00DB2DDD" w:rsidRPr="00DA7BB0" w:rsidRDefault="00DB2DDD" w:rsidP="00DB2DDD">
      <w:pPr>
        <w:pStyle w:val="ListParagraph"/>
        <w:numPr>
          <w:ilvl w:val="1"/>
          <w:numId w:val="1"/>
        </w:numPr>
        <w:ind w:left="720"/>
        <w:rPr>
          <w:rFonts w:ascii="Calibri" w:hAnsi="Calibri"/>
          <w:color w:val="002060"/>
          <w:sz w:val="22"/>
          <w:szCs w:val="22"/>
        </w:rPr>
      </w:pPr>
      <w:r w:rsidRPr="00DA7BB0">
        <w:rPr>
          <w:rFonts w:ascii="Calibri" w:hAnsi="Calibri"/>
          <w:color w:val="002060"/>
          <w:sz w:val="22"/>
          <w:szCs w:val="22"/>
        </w:rPr>
        <w:t>Before being implemented, the impact of the changes would need to be assessed.</w:t>
      </w:r>
    </w:p>
    <w:p w:rsidR="00DB2DDD" w:rsidRPr="00DA7BB0" w:rsidRDefault="00DB2DDD" w:rsidP="00DB2DDD">
      <w:pPr>
        <w:pStyle w:val="ListParagraph"/>
        <w:rPr>
          <w:rFonts w:ascii="Calibri" w:hAnsi="Calibri"/>
          <w:color w:val="002060"/>
          <w:sz w:val="22"/>
          <w:szCs w:val="22"/>
        </w:rPr>
      </w:pPr>
    </w:p>
    <w:p w:rsidR="00DB2DDD" w:rsidRPr="00DA7BB0" w:rsidRDefault="00DB2DDD" w:rsidP="00DB2DDD">
      <w:pPr>
        <w:pStyle w:val="ListParagraph"/>
        <w:numPr>
          <w:ilvl w:val="1"/>
          <w:numId w:val="1"/>
        </w:numPr>
        <w:ind w:left="720"/>
        <w:jc w:val="both"/>
        <w:rPr>
          <w:rFonts w:ascii="Calibri" w:hAnsi="Calibri"/>
          <w:color w:val="002060"/>
          <w:sz w:val="22"/>
          <w:szCs w:val="22"/>
        </w:rPr>
      </w:pPr>
      <w:r w:rsidRPr="00DA7BB0">
        <w:rPr>
          <w:rFonts w:ascii="Calibri" w:hAnsi="Calibri"/>
          <w:color w:val="002060"/>
          <w:sz w:val="22"/>
          <w:szCs w:val="22"/>
        </w:rPr>
        <w:t>Payments made to the Chess Trust could only be used for Chess Trust purposes.   They could not be reapplied to meet general ECF expenditure.    The financial cost to the ECF (being broadly the combined excess of Platinum membership fees paid over the combined Gold membership fees for those members) will need to be assessed and factored into future ECF budgets.</w:t>
      </w:r>
    </w:p>
    <w:p w:rsidR="0085362C" w:rsidRPr="00DA7BB0" w:rsidRDefault="0085362C" w:rsidP="0085362C">
      <w:pPr>
        <w:pStyle w:val="ListParagraph"/>
        <w:rPr>
          <w:rFonts w:ascii="Calibri" w:hAnsi="Calibri"/>
          <w:b/>
          <w:color w:val="002060"/>
          <w:sz w:val="22"/>
          <w:szCs w:val="22"/>
        </w:rPr>
      </w:pPr>
    </w:p>
    <w:p w:rsidR="0085362C" w:rsidRPr="00DA7BB0" w:rsidRDefault="0085362C" w:rsidP="0085362C">
      <w:pPr>
        <w:pStyle w:val="ListParagraph"/>
        <w:numPr>
          <w:ilvl w:val="0"/>
          <w:numId w:val="1"/>
        </w:numPr>
        <w:ind w:left="360"/>
        <w:rPr>
          <w:rFonts w:ascii="Calibri" w:hAnsi="Calibri"/>
          <w:b/>
          <w:color w:val="002060"/>
          <w:sz w:val="22"/>
          <w:szCs w:val="22"/>
        </w:rPr>
      </w:pPr>
      <w:r w:rsidRPr="00DA7BB0">
        <w:rPr>
          <w:rFonts w:ascii="Calibri" w:hAnsi="Calibri"/>
          <w:b/>
          <w:color w:val="002060"/>
          <w:sz w:val="22"/>
          <w:szCs w:val="22"/>
        </w:rPr>
        <w:t>Practical Steps</w:t>
      </w:r>
    </w:p>
    <w:p w:rsidR="00305462" w:rsidRPr="00DA7BB0" w:rsidRDefault="00305462" w:rsidP="00305462">
      <w:pPr>
        <w:rPr>
          <w:rFonts w:ascii="Calibri" w:hAnsi="Calibri"/>
          <w:b/>
          <w:color w:val="002060"/>
          <w:sz w:val="22"/>
          <w:szCs w:val="22"/>
        </w:rPr>
      </w:pPr>
    </w:p>
    <w:p w:rsidR="00305462" w:rsidRPr="00DA7BB0" w:rsidRDefault="00305462" w:rsidP="00305462">
      <w:pPr>
        <w:pStyle w:val="ListParagraph"/>
        <w:numPr>
          <w:ilvl w:val="1"/>
          <w:numId w:val="1"/>
        </w:numPr>
        <w:ind w:left="720"/>
        <w:jc w:val="both"/>
        <w:rPr>
          <w:rFonts w:ascii="Calibri" w:hAnsi="Calibri"/>
          <w:color w:val="002060"/>
          <w:sz w:val="22"/>
          <w:szCs w:val="22"/>
        </w:rPr>
      </w:pPr>
      <w:proofErr w:type="gramStart"/>
      <w:r w:rsidRPr="00DA7BB0">
        <w:rPr>
          <w:rFonts w:ascii="Calibri" w:hAnsi="Calibri"/>
          <w:color w:val="002060"/>
          <w:sz w:val="22"/>
          <w:szCs w:val="22"/>
        </w:rPr>
        <w:t>In order to</w:t>
      </w:r>
      <w:proofErr w:type="gramEnd"/>
      <w:r w:rsidRPr="00DA7BB0">
        <w:rPr>
          <w:rFonts w:ascii="Calibri" w:hAnsi="Calibri"/>
          <w:color w:val="002060"/>
          <w:sz w:val="22"/>
          <w:szCs w:val="22"/>
        </w:rPr>
        <w:t xml:space="preserve"> proceed, the Board should consider and approve (or otherwise) the intended approach, subject to:</w:t>
      </w:r>
    </w:p>
    <w:p w:rsidR="00305462" w:rsidRPr="00DA7BB0" w:rsidRDefault="00305462" w:rsidP="00305462">
      <w:pPr>
        <w:jc w:val="both"/>
        <w:rPr>
          <w:rFonts w:ascii="Calibri" w:hAnsi="Calibri"/>
          <w:color w:val="002060"/>
          <w:sz w:val="22"/>
          <w:szCs w:val="22"/>
        </w:rPr>
      </w:pPr>
    </w:p>
    <w:p w:rsidR="00305462" w:rsidRPr="00DA7BB0" w:rsidRDefault="00305462" w:rsidP="00305462">
      <w:pPr>
        <w:pStyle w:val="ListParagraph"/>
        <w:numPr>
          <w:ilvl w:val="0"/>
          <w:numId w:val="6"/>
        </w:numPr>
        <w:ind w:left="1080"/>
        <w:jc w:val="both"/>
        <w:rPr>
          <w:rFonts w:ascii="Calibri" w:hAnsi="Calibri"/>
          <w:color w:val="002060"/>
          <w:sz w:val="22"/>
          <w:szCs w:val="22"/>
        </w:rPr>
      </w:pPr>
      <w:r w:rsidRPr="00DA7BB0">
        <w:rPr>
          <w:rFonts w:ascii="Calibri" w:hAnsi="Calibri"/>
          <w:color w:val="002060"/>
          <w:sz w:val="22"/>
          <w:szCs w:val="22"/>
        </w:rPr>
        <w:t xml:space="preserve">There being no insuperable practical difficulties; </w:t>
      </w:r>
    </w:p>
    <w:p w:rsidR="00305462" w:rsidRPr="00DA7BB0" w:rsidRDefault="00305462" w:rsidP="00305462">
      <w:pPr>
        <w:pStyle w:val="ListParagraph"/>
        <w:ind w:left="1080"/>
        <w:jc w:val="both"/>
        <w:rPr>
          <w:rFonts w:ascii="Calibri" w:hAnsi="Calibri"/>
          <w:color w:val="002060"/>
          <w:sz w:val="22"/>
          <w:szCs w:val="22"/>
        </w:rPr>
      </w:pPr>
    </w:p>
    <w:p w:rsidR="00305462" w:rsidRPr="00DA7BB0" w:rsidRDefault="00305462" w:rsidP="00305462">
      <w:pPr>
        <w:pStyle w:val="ListParagraph"/>
        <w:numPr>
          <w:ilvl w:val="0"/>
          <w:numId w:val="6"/>
        </w:numPr>
        <w:ind w:left="1080"/>
        <w:jc w:val="both"/>
        <w:rPr>
          <w:rFonts w:ascii="Calibri" w:hAnsi="Calibri"/>
          <w:color w:val="002060"/>
          <w:sz w:val="22"/>
          <w:szCs w:val="22"/>
        </w:rPr>
      </w:pPr>
      <w:r w:rsidRPr="00DA7BB0">
        <w:rPr>
          <w:rFonts w:ascii="Calibri" w:hAnsi="Calibri"/>
          <w:color w:val="002060"/>
          <w:sz w:val="22"/>
          <w:szCs w:val="22"/>
        </w:rPr>
        <w:t>The cost to the ECF not being excessive; and</w:t>
      </w:r>
    </w:p>
    <w:p w:rsidR="00305462" w:rsidRPr="00DA7BB0" w:rsidRDefault="00305462" w:rsidP="00305462">
      <w:pPr>
        <w:pStyle w:val="ListParagraph"/>
        <w:rPr>
          <w:rFonts w:ascii="Calibri" w:hAnsi="Calibri"/>
          <w:color w:val="002060"/>
          <w:sz w:val="22"/>
          <w:szCs w:val="22"/>
        </w:rPr>
      </w:pPr>
    </w:p>
    <w:p w:rsidR="00305462" w:rsidRPr="00DA7BB0" w:rsidRDefault="00305462" w:rsidP="00305462">
      <w:pPr>
        <w:pStyle w:val="ListParagraph"/>
        <w:numPr>
          <w:ilvl w:val="0"/>
          <w:numId w:val="6"/>
        </w:numPr>
        <w:ind w:left="1080"/>
        <w:jc w:val="both"/>
        <w:rPr>
          <w:rFonts w:ascii="Calibri" w:hAnsi="Calibri"/>
          <w:color w:val="002060"/>
          <w:sz w:val="22"/>
          <w:szCs w:val="22"/>
        </w:rPr>
      </w:pPr>
      <w:r w:rsidRPr="00DA7BB0">
        <w:rPr>
          <w:rFonts w:ascii="Calibri" w:hAnsi="Calibri"/>
          <w:color w:val="002060"/>
          <w:sz w:val="22"/>
          <w:szCs w:val="22"/>
        </w:rPr>
        <w:t>Approval of the AGM.</w:t>
      </w:r>
    </w:p>
    <w:p w:rsidR="00305462" w:rsidRPr="00DA7BB0" w:rsidRDefault="00305462" w:rsidP="00305462">
      <w:pPr>
        <w:jc w:val="both"/>
        <w:rPr>
          <w:rFonts w:ascii="Calibri" w:hAnsi="Calibri"/>
          <w:color w:val="002060"/>
          <w:sz w:val="22"/>
          <w:szCs w:val="22"/>
        </w:rPr>
      </w:pPr>
    </w:p>
    <w:p w:rsidR="00305462" w:rsidRPr="00DA7BB0" w:rsidRDefault="00305462" w:rsidP="00305462">
      <w:pPr>
        <w:pStyle w:val="ListParagraph"/>
        <w:numPr>
          <w:ilvl w:val="1"/>
          <w:numId w:val="1"/>
        </w:numPr>
        <w:ind w:left="720"/>
        <w:jc w:val="both"/>
        <w:rPr>
          <w:rFonts w:ascii="Calibri" w:hAnsi="Calibri"/>
          <w:color w:val="002060"/>
          <w:sz w:val="22"/>
          <w:szCs w:val="22"/>
        </w:rPr>
      </w:pPr>
      <w:r w:rsidRPr="00DA7BB0">
        <w:rPr>
          <w:rFonts w:ascii="Calibri" w:hAnsi="Calibri"/>
          <w:color w:val="002060"/>
          <w:sz w:val="22"/>
          <w:szCs w:val="22"/>
        </w:rPr>
        <w:t>If the Board provides its approval, the practical next steps would include:</w:t>
      </w:r>
    </w:p>
    <w:p w:rsidR="00305462" w:rsidRPr="00DA7BB0" w:rsidRDefault="00305462" w:rsidP="00305462">
      <w:pPr>
        <w:jc w:val="both"/>
        <w:rPr>
          <w:rFonts w:ascii="Calibri" w:hAnsi="Calibri"/>
          <w:color w:val="002060"/>
          <w:sz w:val="22"/>
          <w:szCs w:val="22"/>
        </w:rPr>
      </w:pPr>
    </w:p>
    <w:p w:rsidR="00305462" w:rsidRPr="00DA7BB0" w:rsidRDefault="00305462" w:rsidP="00305462">
      <w:pPr>
        <w:pStyle w:val="ListParagraph"/>
        <w:numPr>
          <w:ilvl w:val="0"/>
          <w:numId w:val="7"/>
        </w:numPr>
        <w:ind w:left="1080"/>
        <w:jc w:val="both"/>
        <w:rPr>
          <w:rFonts w:ascii="Calibri" w:hAnsi="Calibri"/>
          <w:color w:val="002060"/>
          <w:sz w:val="22"/>
          <w:szCs w:val="22"/>
        </w:rPr>
      </w:pPr>
      <w:r w:rsidRPr="00DA7BB0">
        <w:rPr>
          <w:rFonts w:ascii="Calibri" w:hAnsi="Calibri"/>
          <w:color w:val="002060"/>
          <w:sz w:val="22"/>
          <w:szCs w:val="22"/>
        </w:rPr>
        <w:t>Verification of the financial impact.</w:t>
      </w:r>
    </w:p>
    <w:p w:rsidR="00305462" w:rsidRPr="00DA7BB0" w:rsidRDefault="00305462" w:rsidP="00305462">
      <w:pPr>
        <w:pStyle w:val="ListParagraph"/>
        <w:ind w:left="1080"/>
        <w:jc w:val="both"/>
        <w:rPr>
          <w:rFonts w:ascii="Calibri" w:hAnsi="Calibri"/>
          <w:color w:val="002060"/>
          <w:sz w:val="22"/>
          <w:szCs w:val="22"/>
        </w:rPr>
      </w:pPr>
    </w:p>
    <w:p w:rsidR="00305462" w:rsidRPr="00DA7BB0" w:rsidRDefault="00305462" w:rsidP="00305462">
      <w:pPr>
        <w:pStyle w:val="ListParagraph"/>
        <w:numPr>
          <w:ilvl w:val="0"/>
          <w:numId w:val="7"/>
        </w:numPr>
        <w:ind w:left="1080"/>
        <w:jc w:val="both"/>
        <w:rPr>
          <w:rFonts w:ascii="Calibri" w:hAnsi="Calibri"/>
          <w:color w:val="002060"/>
          <w:sz w:val="22"/>
          <w:szCs w:val="22"/>
        </w:rPr>
      </w:pPr>
      <w:r w:rsidRPr="00DA7BB0">
        <w:rPr>
          <w:rFonts w:ascii="Calibri" w:hAnsi="Calibri"/>
          <w:color w:val="002060"/>
          <w:sz w:val="22"/>
          <w:szCs w:val="22"/>
        </w:rPr>
        <w:t>Review of the tax analysis.</w:t>
      </w:r>
    </w:p>
    <w:p w:rsidR="00305462" w:rsidRPr="00DA7BB0" w:rsidRDefault="00305462" w:rsidP="00305462">
      <w:pPr>
        <w:pStyle w:val="ListParagraph"/>
        <w:rPr>
          <w:rFonts w:ascii="Calibri" w:hAnsi="Calibri"/>
          <w:color w:val="002060"/>
          <w:sz w:val="22"/>
          <w:szCs w:val="22"/>
        </w:rPr>
      </w:pPr>
    </w:p>
    <w:p w:rsidR="00305462" w:rsidRPr="00DA7BB0" w:rsidRDefault="00305462" w:rsidP="00305462">
      <w:pPr>
        <w:pStyle w:val="ListParagraph"/>
        <w:numPr>
          <w:ilvl w:val="0"/>
          <w:numId w:val="7"/>
        </w:numPr>
        <w:ind w:left="1080"/>
        <w:jc w:val="both"/>
        <w:rPr>
          <w:rFonts w:ascii="Calibri" w:hAnsi="Calibri"/>
          <w:color w:val="002060"/>
          <w:sz w:val="22"/>
          <w:szCs w:val="22"/>
        </w:rPr>
      </w:pPr>
      <w:r w:rsidRPr="00DA7BB0">
        <w:rPr>
          <w:rFonts w:ascii="Calibri" w:hAnsi="Calibri"/>
          <w:color w:val="002060"/>
          <w:sz w:val="22"/>
          <w:szCs w:val="22"/>
        </w:rPr>
        <w:t>Establishment of the practical impact on the annual membership renewals and documentation.</w:t>
      </w:r>
    </w:p>
    <w:p w:rsidR="00305462" w:rsidRPr="00DA7BB0" w:rsidRDefault="00305462" w:rsidP="00305462">
      <w:pPr>
        <w:pStyle w:val="ListParagraph"/>
        <w:rPr>
          <w:rFonts w:ascii="Calibri" w:hAnsi="Calibri"/>
          <w:color w:val="002060"/>
          <w:sz w:val="22"/>
          <w:szCs w:val="22"/>
        </w:rPr>
      </w:pPr>
    </w:p>
    <w:p w:rsidR="00305462" w:rsidRPr="00DA7BB0" w:rsidRDefault="00305462" w:rsidP="00305462">
      <w:pPr>
        <w:pStyle w:val="ListParagraph"/>
        <w:numPr>
          <w:ilvl w:val="0"/>
          <w:numId w:val="7"/>
        </w:numPr>
        <w:ind w:left="1080"/>
        <w:jc w:val="both"/>
        <w:rPr>
          <w:rFonts w:ascii="Calibri" w:hAnsi="Calibri"/>
          <w:color w:val="002060"/>
          <w:sz w:val="22"/>
          <w:szCs w:val="22"/>
        </w:rPr>
      </w:pPr>
      <w:r w:rsidRPr="00DA7BB0">
        <w:rPr>
          <w:rFonts w:ascii="Calibri" w:hAnsi="Calibri"/>
          <w:color w:val="002060"/>
          <w:sz w:val="22"/>
          <w:szCs w:val="22"/>
        </w:rPr>
        <w:t>Submission of a suitable resolution for the AGM.</w:t>
      </w:r>
    </w:p>
    <w:p w:rsidR="00DA7BB0" w:rsidRPr="00DA7BB0" w:rsidRDefault="00DA7BB0" w:rsidP="00DA7BB0">
      <w:pPr>
        <w:pStyle w:val="ListParagraph"/>
        <w:rPr>
          <w:rFonts w:ascii="Calibri" w:hAnsi="Calibri"/>
          <w:color w:val="002060"/>
          <w:sz w:val="22"/>
          <w:szCs w:val="22"/>
        </w:rPr>
      </w:pPr>
    </w:p>
    <w:p w:rsidR="00DA7BB0" w:rsidRPr="00DA7BB0" w:rsidRDefault="00DA7BB0" w:rsidP="00305462">
      <w:pPr>
        <w:pStyle w:val="ListParagraph"/>
        <w:numPr>
          <w:ilvl w:val="0"/>
          <w:numId w:val="7"/>
        </w:numPr>
        <w:ind w:left="1080"/>
        <w:jc w:val="both"/>
        <w:rPr>
          <w:rFonts w:ascii="Calibri" w:hAnsi="Calibri"/>
          <w:color w:val="002060"/>
          <w:sz w:val="22"/>
          <w:szCs w:val="22"/>
        </w:rPr>
      </w:pPr>
      <w:r w:rsidRPr="00DA7BB0">
        <w:rPr>
          <w:rFonts w:ascii="Calibri" w:hAnsi="Calibri"/>
          <w:color w:val="002060"/>
          <w:sz w:val="22"/>
          <w:szCs w:val="22"/>
        </w:rPr>
        <w:t>Consulting with the Platinum members’ representative</w:t>
      </w:r>
    </w:p>
    <w:p w:rsidR="00DA7BB0" w:rsidRPr="00DA7BB0" w:rsidRDefault="00DA7BB0" w:rsidP="00DA7BB0">
      <w:pPr>
        <w:spacing w:after="160" w:line="259" w:lineRule="auto"/>
        <w:rPr>
          <w:rFonts w:ascii="Calibri" w:hAnsi="Calibri"/>
          <w:color w:val="002060"/>
          <w:sz w:val="22"/>
          <w:szCs w:val="22"/>
        </w:rPr>
      </w:pPr>
      <w:r w:rsidRPr="00DA7BB0">
        <w:rPr>
          <w:rFonts w:ascii="Calibri" w:hAnsi="Calibri"/>
          <w:color w:val="002060"/>
          <w:sz w:val="22"/>
          <w:szCs w:val="22"/>
        </w:rPr>
        <w:br w:type="page"/>
      </w:r>
    </w:p>
    <w:p w:rsidR="00305462" w:rsidRPr="00DA7BB0" w:rsidRDefault="00305462" w:rsidP="00305462">
      <w:pPr>
        <w:rPr>
          <w:rFonts w:ascii="Calibri" w:hAnsi="Calibri"/>
          <w:b/>
          <w:color w:val="002060"/>
          <w:sz w:val="22"/>
          <w:szCs w:val="22"/>
        </w:rPr>
      </w:pPr>
    </w:p>
    <w:p w:rsidR="00305462" w:rsidRPr="00DA7BB0" w:rsidRDefault="00305462" w:rsidP="0085362C">
      <w:pPr>
        <w:pStyle w:val="ListParagraph"/>
        <w:numPr>
          <w:ilvl w:val="0"/>
          <w:numId w:val="1"/>
        </w:numPr>
        <w:ind w:left="360"/>
        <w:rPr>
          <w:rFonts w:ascii="Calibri" w:hAnsi="Calibri"/>
          <w:b/>
          <w:color w:val="002060"/>
          <w:sz w:val="22"/>
          <w:szCs w:val="22"/>
        </w:rPr>
      </w:pPr>
      <w:r w:rsidRPr="00DA7BB0">
        <w:rPr>
          <w:rFonts w:ascii="Calibri" w:hAnsi="Calibri"/>
          <w:b/>
          <w:color w:val="002060"/>
          <w:sz w:val="22"/>
          <w:szCs w:val="22"/>
        </w:rPr>
        <w:t>Resolution</w:t>
      </w:r>
    </w:p>
    <w:p w:rsidR="00305462" w:rsidRPr="00DA7BB0" w:rsidRDefault="00305462" w:rsidP="00305462">
      <w:pPr>
        <w:rPr>
          <w:rFonts w:ascii="Calibri" w:hAnsi="Calibri"/>
          <w:b/>
          <w:color w:val="002060"/>
          <w:sz w:val="22"/>
          <w:szCs w:val="22"/>
        </w:rPr>
      </w:pPr>
    </w:p>
    <w:p w:rsidR="00305462" w:rsidRPr="00DA7BB0" w:rsidRDefault="00305462" w:rsidP="00305462">
      <w:pPr>
        <w:ind w:left="360"/>
        <w:jc w:val="both"/>
        <w:rPr>
          <w:rFonts w:ascii="Calibri" w:hAnsi="Calibri"/>
          <w:color w:val="002060"/>
          <w:sz w:val="22"/>
          <w:szCs w:val="22"/>
        </w:rPr>
      </w:pPr>
      <w:r w:rsidRPr="00DA7BB0">
        <w:rPr>
          <w:rFonts w:ascii="Calibri" w:hAnsi="Calibri"/>
          <w:color w:val="002060"/>
          <w:sz w:val="22"/>
          <w:szCs w:val="22"/>
        </w:rPr>
        <w:t>If in agreement, the Board should resolve to proceed with the restructuring of Platinum funding as set out in this paper.</w:t>
      </w:r>
    </w:p>
    <w:p w:rsidR="0085362C" w:rsidRPr="00DA7BB0" w:rsidRDefault="0085362C" w:rsidP="0085362C">
      <w:pPr>
        <w:pStyle w:val="ListParagraph"/>
        <w:rPr>
          <w:rFonts w:ascii="Calibri" w:hAnsi="Calibri"/>
          <w:b/>
          <w:color w:val="002060"/>
          <w:sz w:val="22"/>
          <w:szCs w:val="22"/>
        </w:rPr>
      </w:pPr>
    </w:p>
    <w:p w:rsidR="0085362C" w:rsidRPr="00DA7BB0" w:rsidRDefault="0085362C" w:rsidP="0085362C">
      <w:pPr>
        <w:jc w:val="right"/>
        <w:rPr>
          <w:rFonts w:ascii="Calibri" w:hAnsi="Calibri"/>
          <w:b/>
          <w:color w:val="002060"/>
          <w:sz w:val="22"/>
          <w:szCs w:val="22"/>
        </w:rPr>
      </w:pPr>
      <w:r w:rsidRPr="00DA7BB0">
        <w:rPr>
          <w:rFonts w:ascii="Calibri" w:hAnsi="Calibri"/>
          <w:b/>
          <w:color w:val="002060"/>
          <w:sz w:val="22"/>
          <w:szCs w:val="22"/>
        </w:rPr>
        <w:t>Stephen V Woodhouse</w:t>
      </w:r>
    </w:p>
    <w:p w:rsidR="0085362C" w:rsidRPr="00DA7BB0" w:rsidRDefault="00E120B2" w:rsidP="0085362C">
      <w:pPr>
        <w:jc w:val="right"/>
        <w:rPr>
          <w:rFonts w:ascii="Calibri" w:hAnsi="Calibri"/>
          <w:b/>
          <w:color w:val="002060"/>
          <w:sz w:val="22"/>
          <w:szCs w:val="22"/>
        </w:rPr>
      </w:pPr>
      <w:r>
        <w:rPr>
          <w:rFonts w:ascii="Calibri" w:hAnsi="Calibri"/>
          <w:b/>
          <w:color w:val="002060"/>
          <w:sz w:val="22"/>
          <w:szCs w:val="22"/>
        </w:rPr>
        <w:t>20th</w:t>
      </w:r>
      <w:bookmarkStart w:id="0" w:name="_GoBack"/>
      <w:bookmarkEnd w:id="0"/>
      <w:r w:rsidR="0085362C" w:rsidRPr="00DA7BB0">
        <w:rPr>
          <w:rFonts w:ascii="Calibri" w:hAnsi="Calibri"/>
          <w:b/>
          <w:color w:val="002060"/>
          <w:sz w:val="22"/>
          <w:szCs w:val="22"/>
        </w:rPr>
        <w:t xml:space="preserve"> August 2017</w:t>
      </w:r>
    </w:p>
    <w:p w:rsidR="0085362C" w:rsidRPr="00DA7BB0" w:rsidRDefault="0085362C" w:rsidP="0085362C">
      <w:pPr>
        <w:jc w:val="center"/>
        <w:rPr>
          <w:rFonts w:ascii="Calibri" w:hAnsi="Calibri"/>
          <w:color w:val="002060"/>
          <w:sz w:val="22"/>
          <w:szCs w:val="22"/>
        </w:rPr>
      </w:pPr>
    </w:p>
    <w:p w:rsidR="0085362C" w:rsidRPr="00DA7BB0" w:rsidRDefault="0085362C" w:rsidP="0085362C">
      <w:pPr>
        <w:rPr>
          <w:color w:val="002060"/>
        </w:rPr>
      </w:pPr>
      <w:r w:rsidRPr="00DA7BB0">
        <w:rPr>
          <w:rFonts w:ascii="Calibri" w:hAnsi="Calibri"/>
          <w:color w:val="002060"/>
          <w:sz w:val="22"/>
          <w:szCs w:val="22"/>
        </w:rPr>
        <w:t> </w:t>
      </w:r>
    </w:p>
    <w:sectPr w:rsidR="0085362C" w:rsidRPr="00DA7BB0">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DE8" w:rsidRDefault="00905DE8" w:rsidP="00305462">
      <w:r>
        <w:separator/>
      </w:r>
    </w:p>
  </w:endnote>
  <w:endnote w:type="continuationSeparator" w:id="0">
    <w:p w:rsidR="00905DE8" w:rsidRDefault="00905DE8" w:rsidP="0030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462" w:rsidRDefault="00305462" w:rsidP="006D75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5462" w:rsidRDefault="00305462" w:rsidP="003054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462" w:rsidRDefault="00305462" w:rsidP="006D75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20B2">
      <w:rPr>
        <w:rStyle w:val="PageNumber"/>
        <w:noProof/>
      </w:rPr>
      <w:t>3</w:t>
    </w:r>
    <w:r>
      <w:rPr>
        <w:rStyle w:val="PageNumber"/>
      </w:rPr>
      <w:fldChar w:fldCharType="end"/>
    </w:r>
  </w:p>
  <w:p w:rsidR="00305462" w:rsidRDefault="00305462" w:rsidP="003054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DE8" w:rsidRDefault="00905DE8" w:rsidP="00305462">
      <w:r>
        <w:separator/>
      </w:r>
    </w:p>
  </w:footnote>
  <w:footnote w:type="continuationSeparator" w:id="0">
    <w:p w:rsidR="00905DE8" w:rsidRDefault="00905DE8" w:rsidP="00305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809000B"/>
    <w:lvl w:ilvl="0">
      <w:start w:val="1"/>
      <w:numFmt w:val="bullet"/>
      <w:lvlText w:val=""/>
      <w:lvlJc w:val="left"/>
      <w:pPr>
        <w:ind w:left="360" w:hanging="360"/>
      </w:pPr>
      <w:rPr>
        <w:rFonts w:ascii="Wingdings" w:hAnsi="Wingdings" w:hint="default"/>
      </w:rPr>
    </w:lvl>
  </w:abstractNum>
  <w:abstractNum w:abstractNumId="1" w15:restartNumberingAfterBreak="0">
    <w:nsid w:val="055A6A61"/>
    <w:multiLevelType w:val="hybridMultilevel"/>
    <w:tmpl w:val="98D47A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A1A67"/>
    <w:multiLevelType w:val="hybridMultilevel"/>
    <w:tmpl w:val="43F6AF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2531E"/>
    <w:multiLevelType w:val="hybridMultilevel"/>
    <w:tmpl w:val="BBBCBD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F43B07"/>
    <w:multiLevelType w:val="hybridMultilevel"/>
    <w:tmpl w:val="6CA0CF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DB5373"/>
    <w:multiLevelType w:val="hybridMultilevel"/>
    <w:tmpl w:val="403246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B74E42"/>
    <w:multiLevelType w:val="multilevel"/>
    <w:tmpl w:val="05109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inorHAnsi" w:hAnsiTheme="minorHAns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0"/>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62C"/>
    <w:rsid w:val="00124641"/>
    <w:rsid w:val="00305462"/>
    <w:rsid w:val="004671B1"/>
    <w:rsid w:val="005A6A0E"/>
    <w:rsid w:val="00604688"/>
    <w:rsid w:val="0085362C"/>
    <w:rsid w:val="00905DE8"/>
    <w:rsid w:val="00BB7BC2"/>
    <w:rsid w:val="00DA7BB0"/>
    <w:rsid w:val="00DB2DDD"/>
    <w:rsid w:val="00E120B2"/>
    <w:rsid w:val="00EC0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3732"/>
  <w15:chartTrackingRefBased/>
  <w15:docId w15:val="{8A722074-0543-4A8E-9E05-64831DFF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62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62C"/>
    <w:pPr>
      <w:ind w:left="720"/>
      <w:contextualSpacing/>
    </w:pPr>
  </w:style>
  <w:style w:type="paragraph" w:styleId="ListBullet">
    <w:name w:val="List Bullet"/>
    <w:basedOn w:val="Normal"/>
    <w:uiPriority w:val="99"/>
    <w:unhideWhenUsed/>
    <w:rsid w:val="005A6A0E"/>
    <w:pPr>
      <w:contextualSpacing/>
    </w:pPr>
  </w:style>
  <w:style w:type="paragraph" w:styleId="Footer">
    <w:name w:val="footer"/>
    <w:basedOn w:val="Normal"/>
    <w:link w:val="FooterChar"/>
    <w:uiPriority w:val="99"/>
    <w:unhideWhenUsed/>
    <w:rsid w:val="00305462"/>
    <w:pPr>
      <w:tabs>
        <w:tab w:val="center" w:pos="4513"/>
        <w:tab w:val="right" w:pos="9026"/>
      </w:tabs>
    </w:pPr>
  </w:style>
  <w:style w:type="character" w:customStyle="1" w:styleId="FooterChar">
    <w:name w:val="Footer Char"/>
    <w:basedOn w:val="DefaultParagraphFont"/>
    <w:link w:val="Footer"/>
    <w:uiPriority w:val="99"/>
    <w:rsid w:val="00305462"/>
    <w:rPr>
      <w:rFonts w:ascii="Times New Roman" w:hAnsi="Times New Roman" w:cs="Times New Roman"/>
      <w:sz w:val="24"/>
      <w:szCs w:val="24"/>
      <w:lang w:eastAsia="en-GB"/>
    </w:rPr>
  </w:style>
  <w:style w:type="character" w:styleId="PageNumber">
    <w:name w:val="page number"/>
    <w:basedOn w:val="DefaultParagraphFont"/>
    <w:uiPriority w:val="99"/>
    <w:semiHidden/>
    <w:unhideWhenUsed/>
    <w:rsid w:val="00305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32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Woodhouse</dc:creator>
  <cp:keywords/>
  <dc:description/>
  <cp:lastModifiedBy>Andrew Walker</cp:lastModifiedBy>
  <cp:revision>3</cp:revision>
  <dcterms:created xsi:type="dcterms:W3CDTF">2017-08-20T15:23:00Z</dcterms:created>
  <dcterms:modified xsi:type="dcterms:W3CDTF">2017-10-04T15:36:00Z</dcterms:modified>
</cp:coreProperties>
</file>