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C1" w:rsidRPr="008301F3" w:rsidRDefault="008301F3" w:rsidP="00817D57">
      <w:pPr>
        <w:jc w:val="center"/>
        <w:rPr>
          <w:b/>
          <w:u w:val="single"/>
        </w:rPr>
      </w:pPr>
      <w:bookmarkStart w:id="0" w:name="_GoBack"/>
      <w:bookmarkEnd w:id="0"/>
      <w:r>
        <w:rPr>
          <w:b/>
          <w:u w:val="single"/>
        </w:rPr>
        <w:t>Voting Reform and other Constitutional Matters</w:t>
      </w:r>
    </w:p>
    <w:p w:rsidR="00195C1E" w:rsidRPr="00594C1D" w:rsidRDefault="008301F3" w:rsidP="00817D57">
      <w:pPr>
        <w:ind w:left="709" w:hanging="709"/>
        <w:jc w:val="both"/>
        <w:rPr>
          <w:u w:val="single"/>
        </w:rPr>
      </w:pPr>
      <w:r w:rsidRPr="00594C1D">
        <w:rPr>
          <w:u w:val="single"/>
        </w:rPr>
        <w:t>Introduction</w:t>
      </w:r>
    </w:p>
    <w:p w:rsidR="00A845A0" w:rsidRDefault="00022D6B" w:rsidP="009F66CC">
      <w:pPr>
        <w:pStyle w:val="Heading1"/>
        <w:keepNext w:val="0"/>
      </w:pPr>
      <w:r>
        <w:t>This paper provides</w:t>
      </w:r>
      <w:r w:rsidR="000F6EAB">
        <w:t xml:space="preserve"> information </w:t>
      </w:r>
      <w:r w:rsidR="00546FBA">
        <w:t>in relation to the resolutions to be proposed at the 2017 Annual General Meeting (“AGM”) in relation to constitutional matters,</w:t>
      </w:r>
      <w:r w:rsidR="005815B3">
        <w:t xml:space="preserve"> most notably a further proposal</w:t>
      </w:r>
      <w:r w:rsidR="00546FBA">
        <w:t xml:space="preserve"> in relation to voting reform at Council</w:t>
      </w:r>
      <w:r w:rsidR="005815B3">
        <w:t>.</w:t>
      </w:r>
      <w:r w:rsidR="00772D1D">
        <w:t xml:space="preserve"> Paragraphs 2 to 8</w:t>
      </w:r>
      <w:r w:rsidR="00546FBA">
        <w:t xml:space="preserve"> set out a descr</w:t>
      </w:r>
      <w:r w:rsidR="005361E3">
        <w:t>iption of the various resolutions and the back</w:t>
      </w:r>
      <w:r w:rsidR="00647B20">
        <w:t>ground to</w:t>
      </w:r>
      <w:r w:rsidR="005815B3">
        <w:t xml:space="preserve"> them and the Schedule hereto se</w:t>
      </w:r>
      <w:r w:rsidR="00647B20">
        <w:t>ts out the text of the relevant formal resolutions.</w:t>
      </w:r>
    </w:p>
    <w:p w:rsidR="00647B20" w:rsidRDefault="00647B20" w:rsidP="00647B20">
      <w:pPr>
        <w:rPr>
          <w:u w:val="single"/>
        </w:rPr>
      </w:pPr>
      <w:r>
        <w:rPr>
          <w:u w:val="single"/>
        </w:rPr>
        <w:t>Voting Reform</w:t>
      </w:r>
    </w:p>
    <w:p w:rsidR="00647B20" w:rsidRDefault="00647B20" w:rsidP="009F66CC">
      <w:pPr>
        <w:pStyle w:val="Heading1"/>
        <w:keepNext w:val="0"/>
      </w:pPr>
      <w:r>
        <w:t>Possible voting reform was discussed at Finance Council earlier this year.  It was clear from the discussion at that meeting and from the non-binding indicative votes</w:t>
      </w:r>
      <w:r w:rsidR="005815B3">
        <w:t xml:space="preserve"> undertaken at the meeting</w:t>
      </w:r>
      <w:r>
        <w:t xml:space="preserve"> that the proposals would be </w:t>
      </w:r>
      <w:r w:rsidR="006D1020">
        <w:t>unlikely to achieve the necessary 75% majority vote needed to implement reform by amending the Articles of Association.  However, the proposal that the voting rights of Direct Members Representatives be increased from the current 10 votes in aggregate (approximately 3% of t</w:t>
      </w:r>
      <w:r w:rsidR="005815B3">
        <w:t>he total voting rights at</w:t>
      </w:r>
      <w:r w:rsidR="006D1020">
        <w:t xml:space="preserve"> Council) to a figure in the order of 25% did obtain a m</w:t>
      </w:r>
      <w:r w:rsidR="00F2114F">
        <w:t>ajority vote of nearly</w:t>
      </w:r>
      <w:r w:rsidR="005815B3">
        <w:t xml:space="preserve"> 60</w:t>
      </w:r>
      <w:r w:rsidR="006D1020">
        <w:t>%.  Whilst this would be a</w:t>
      </w:r>
      <w:r w:rsidR="0012018D">
        <w:t>n insufficien</w:t>
      </w:r>
      <w:r w:rsidR="00F2114F">
        <w:t>t level of support for passing</w:t>
      </w:r>
      <w:r w:rsidR="0012018D">
        <w:t xml:space="preserve"> a special resolution, it did indicate that there is an appetite for vot</w:t>
      </w:r>
      <w:r w:rsidR="00F2114F">
        <w:t>ing reform. F</w:t>
      </w:r>
      <w:r w:rsidR="0012018D">
        <w:t xml:space="preserve">rom the discussions at Finance Council after the results of the non-binding votes were announced it became apparent that it </w:t>
      </w:r>
      <w:r w:rsidR="00F2114F">
        <w:t>would be appropriate to propose</w:t>
      </w:r>
      <w:r w:rsidR="0012018D">
        <w:t xml:space="preserve"> a lesser increase in the voting right</w:t>
      </w:r>
      <w:r w:rsidR="00EB21F5">
        <w:t>s</w:t>
      </w:r>
      <w:r w:rsidR="0012018D">
        <w:t xml:space="preserve"> of Direct Members</w:t>
      </w:r>
      <w:r w:rsidR="00F2114F">
        <w:t>’</w:t>
      </w:r>
      <w:r w:rsidR="0012018D">
        <w:t xml:space="preserve"> Representatives.</w:t>
      </w:r>
    </w:p>
    <w:p w:rsidR="0012018D" w:rsidRDefault="0012018D" w:rsidP="0012018D">
      <w:pPr>
        <w:pStyle w:val="Heading1"/>
      </w:pPr>
      <w:r>
        <w:t>The Governance Committee and the Board continue to believe that the existing</w:t>
      </w:r>
      <w:r w:rsidR="00F2114F">
        <w:t xml:space="preserve"> constitutional arrangements do</w:t>
      </w:r>
      <w:r>
        <w:t xml:space="preserve"> not adequately reflect the interests of Direct Membe</w:t>
      </w:r>
      <w:r w:rsidR="00F2114F">
        <w:t>rs</w:t>
      </w:r>
      <w:r w:rsidR="004F58C6">
        <w:t xml:space="preserve"> (the paying members of the ECF)</w:t>
      </w:r>
      <w:r w:rsidR="00F2114F">
        <w:t>.  Accordingly, resolutions a</w:t>
      </w:r>
      <w:r>
        <w:t>re to be proposed at the AGM to increas</w:t>
      </w:r>
      <w:r w:rsidR="00F2114F">
        <w:t>e the aggregate number of vote</w:t>
      </w:r>
      <w:r>
        <w:t>s of Direct Members</w:t>
      </w:r>
      <w:r w:rsidR="00F2114F">
        <w:t>’ R</w:t>
      </w:r>
      <w:r>
        <w:t>epresentatives from the current number of 10 up to 40.  In greater detail:</w:t>
      </w:r>
    </w:p>
    <w:p w:rsidR="0012018D" w:rsidRDefault="00F2114F" w:rsidP="0012018D">
      <w:pPr>
        <w:pStyle w:val="Heading3"/>
      </w:pPr>
      <w:r>
        <w:t>there w</w:t>
      </w:r>
      <w:r w:rsidR="0012018D">
        <w:t>ould continue to be 10 Direct Members’ Representatives (two representatives for each of the five relevant categories, namely (i) bronze members, (ii) silver members, (iii) gold members, (iv) platinum members and (v) honorary life vice presidents/life members.  The representatives of categories (iv) and (v) would continue to have one vote each at Council but those of categories (i), (ii) and (iii) would have six votes each</w:t>
      </w:r>
      <w:r>
        <w:t xml:space="preserve"> (a broadly fair division of the extra votes in light of the relevant numbers of members and financial contribution)</w:t>
      </w:r>
      <w:r w:rsidR="0012018D">
        <w:t>;</w:t>
      </w:r>
    </w:p>
    <w:p w:rsidR="0012018D" w:rsidRDefault="00F2114F" w:rsidP="0012018D">
      <w:pPr>
        <w:pStyle w:val="Heading3"/>
      </w:pPr>
      <w:r>
        <w:t>since the distribu</w:t>
      </w:r>
      <w:r w:rsidR="0012018D">
        <w:t>tion</w:t>
      </w:r>
      <w:r>
        <w:t xml:space="preserve"> of </w:t>
      </w:r>
      <w:r w:rsidR="0012018D">
        <w:t xml:space="preserve">the 40 votes </w:t>
      </w:r>
      <w:r w:rsidR="00EB21F5">
        <w:t>will be</w:t>
      </w:r>
      <w:r w:rsidR="00BE17FC">
        <w:t xml:space="preserve"> set out in the Direct Members Byelaw</w:t>
      </w:r>
      <w:r>
        <w:t>s</w:t>
      </w:r>
      <w:r w:rsidR="00BE17FC">
        <w:t xml:space="preserve"> and not in </w:t>
      </w:r>
      <w:r w:rsidR="00822876">
        <w:t>the Articles of Association, any</w:t>
      </w:r>
      <w:r w:rsidR="00BE17FC">
        <w:t xml:space="preserve"> </w:t>
      </w:r>
      <w:r w:rsidR="00822876">
        <w:t>re</w:t>
      </w:r>
      <w:r w:rsidR="00BE17FC">
        <w:t>distribution of vote</w:t>
      </w:r>
      <w:r>
        <w:t>s</w:t>
      </w:r>
      <w:r w:rsidR="00D418A4">
        <w:t xml:space="preserve"> amongst membership </w:t>
      </w:r>
      <w:r w:rsidR="00BE17FC">
        <w:t xml:space="preserve">categories can be effected by ordinary resolution </w:t>
      </w:r>
      <w:r w:rsidR="00104A1D">
        <w:t>rather than special resolution, thus facilitating any change that might be needed in light of future change to membership categories</w:t>
      </w:r>
      <w:r w:rsidR="00D418A4">
        <w:t xml:space="preserve"> or numbers</w:t>
      </w:r>
      <w:r w:rsidR="009F66CC">
        <w:t>.  Any future increase or decrease in the number of Direct Members' Representatives would also be implemented by amending the Direct Members Bye Laws</w:t>
      </w:r>
      <w:r w:rsidR="00104A1D">
        <w:t>;</w:t>
      </w:r>
    </w:p>
    <w:p w:rsidR="00104A1D" w:rsidRDefault="00EB21F5" w:rsidP="00104A1D">
      <w:pPr>
        <w:pStyle w:val="Heading3"/>
      </w:pPr>
      <w:r>
        <w:lastRenderedPageBreak/>
        <w:t>a</w:t>
      </w:r>
      <w:r w:rsidR="00371FC2">
        <w:t xml:space="preserve"> </w:t>
      </w:r>
      <w:r w:rsidR="00104A1D">
        <w:t>Dir</w:t>
      </w:r>
      <w:r w:rsidR="00D418A4">
        <w:t>ect Members’ Representative will need to</w:t>
      </w:r>
      <w:r w:rsidR="00104A1D">
        <w:t xml:space="preserve"> be a Direct Member but it will no longer be a requirement that he or she be a member of the </w:t>
      </w:r>
      <w:r>
        <w:t>relevant category of membership;</w:t>
      </w:r>
    </w:p>
    <w:p w:rsidR="00104A1D" w:rsidRDefault="00EB21F5" w:rsidP="00104A1D">
      <w:pPr>
        <w:pStyle w:val="Heading3"/>
      </w:pPr>
      <w:r>
        <w:t>n</w:t>
      </w:r>
      <w:r w:rsidR="00371FC2">
        <w:t xml:space="preserve">ominations </w:t>
      </w:r>
      <w:r w:rsidR="00104A1D">
        <w:t>for becoming a Director Members</w:t>
      </w:r>
      <w:r w:rsidR="00822876">
        <w:t>’</w:t>
      </w:r>
      <w:r w:rsidR="00104A1D">
        <w:t xml:space="preserve"> Representative will be sought</w:t>
      </w:r>
      <w:r w:rsidR="00D418A4">
        <w:t xml:space="preserve"> by the Board</w:t>
      </w:r>
      <w:r w:rsidR="00104A1D">
        <w:t xml:space="preserve"> in June each year, any necessary elections will be held by email and post in July and those attaining a post will be in office for a cale</w:t>
      </w:r>
      <w:r w:rsidR="00D418A4">
        <w:t>ndar year ending on the next succeeding</w:t>
      </w:r>
      <w:r w:rsidR="00104A1D">
        <w:t xml:space="preserve"> 31</w:t>
      </w:r>
      <w:r w:rsidR="00104A1D" w:rsidRPr="00104A1D">
        <w:rPr>
          <w:vertAlign w:val="superscript"/>
        </w:rPr>
        <w:t>st</w:t>
      </w:r>
      <w:r w:rsidR="00104A1D">
        <w:t xml:space="preserve"> July.  Juniors shall be entitled to vote</w:t>
      </w:r>
      <w:r w:rsidR="00D418A4">
        <w:t>. T</w:t>
      </w:r>
      <w:r w:rsidR="00104A1D">
        <w:t>he Board shall be entitled to approve replacements f</w:t>
      </w:r>
      <w:r w:rsidR="00D418A4">
        <w:t>or vacant posts, subject to the approval</w:t>
      </w:r>
      <w:r w:rsidR="00104A1D">
        <w:t xml:space="preserve"> of the Chairman of Council.</w:t>
      </w:r>
    </w:p>
    <w:p w:rsidR="00772D1D" w:rsidRDefault="00104A1D" w:rsidP="009F66CC">
      <w:pPr>
        <w:pStyle w:val="Heading1"/>
        <w:keepNext w:val="0"/>
      </w:pPr>
      <w:r>
        <w:t>The</w:t>
      </w:r>
      <w:r w:rsidR="00D418A4">
        <w:t xml:space="preserve"> Governance Committee and the Board believe that these proposals represent a move towards more properly reflecting the interests</w:t>
      </w:r>
      <w:r w:rsidR="004F58C6">
        <w:t xml:space="preserve"> and financial contribution</w:t>
      </w:r>
      <w:r w:rsidR="00D418A4">
        <w:t xml:space="preserve"> of Direct Members</w:t>
      </w:r>
      <w:r w:rsidR="004F58C6">
        <w:t xml:space="preserve"> without in any way damaging the link between </w:t>
      </w:r>
      <w:r w:rsidR="0086270F">
        <w:t>the ECF and the various leagues, associations, unions, congresses and others comprising the current members of Council (a criticism levelled at some of the reform proposals that were discussed at Finance Council in April). The proposals are not complex, are simple to implement and, as the number of Direct Members’ Representatives is not increased, do not involve an increase in travel costs.</w:t>
      </w:r>
    </w:p>
    <w:p w:rsidR="00104A1D" w:rsidRDefault="0086270F" w:rsidP="009F66CC">
      <w:pPr>
        <w:pStyle w:val="Heading1"/>
        <w:keepNext w:val="0"/>
      </w:pPr>
      <w:r>
        <w:t xml:space="preserve">The </w:t>
      </w:r>
      <w:r w:rsidR="00104A1D">
        <w:t>implementation of these proposals requires the passing of the special res</w:t>
      </w:r>
      <w:r w:rsidR="00772D1D">
        <w:t>olution set out in paragraph 1 of the Schedule and the ordinary</w:t>
      </w:r>
      <w:r w:rsidR="00104A1D">
        <w:t xml:space="preserve"> res</w:t>
      </w:r>
      <w:r w:rsidR="00772D1D">
        <w:t>olution set out in paragraph 2 of the Schedule</w:t>
      </w:r>
      <w:r w:rsidR="00104A1D">
        <w:t>.</w:t>
      </w:r>
    </w:p>
    <w:p w:rsidR="00104A1D" w:rsidRDefault="00104A1D" w:rsidP="009F66CC">
      <w:pPr>
        <w:keepNext/>
        <w:rPr>
          <w:u w:val="single"/>
        </w:rPr>
      </w:pPr>
      <w:r>
        <w:rPr>
          <w:u w:val="single"/>
        </w:rPr>
        <w:t>Other Constitutional Changes</w:t>
      </w:r>
    </w:p>
    <w:p w:rsidR="00104A1D" w:rsidRDefault="00A73995" w:rsidP="009F66CC">
      <w:pPr>
        <w:pStyle w:val="Heading1"/>
        <w:keepNext w:val="0"/>
      </w:pPr>
      <w:r>
        <w:t>It is proposed that Article 28 be amended such that where there is a vote at Council by poll ( a “card vote”) then voting transparency would apply and there would be published on the Company’s website details of how the votes of each member were cast.</w:t>
      </w:r>
      <w:r w:rsidR="009D0176">
        <w:t xml:space="preserve"> </w:t>
      </w:r>
      <w:r>
        <w:t>However, this would not apply on</w:t>
      </w:r>
      <w:r w:rsidR="009D0176">
        <w:t xml:space="preserve"> votes for the election of an individual to an office or post as this would bring the risk of members</w:t>
      </w:r>
      <w:r w:rsidR="00EB21F5">
        <w:t xml:space="preserve"> of Council</w:t>
      </w:r>
      <w:r w:rsidR="009D0176">
        <w:t xml:space="preserve"> feeling that undue influence might be brought on them to vote in a particular way. Under the current Article 28, there is no disclosure of how members exercise their votes, unless the chairman of the meeting exercises his discretion to disclose. The Governance Committee and the Board believe that adopting this proposal will assist in </w:t>
      </w:r>
      <w:r w:rsidR="00AD76FD">
        <w:t xml:space="preserve">ensuring that constituents of member organizations are informed as to how the votes of the relevant member organization are cast. </w:t>
      </w:r>
      <w:r w:rsidR="00BA0E20">
        <w:t>The special resolution to implement this change is set out in paragraph 3 of the Schedule.</w:t>
      </w:r>
      <w:r>
        <w:t xml:space="preserve"> </w:t>
      </w:r>
    </w:p>
    <w:p w:rsidR="00104A1D" w:rsidRDefault="00104A1D" w:rsidP="009F66CC">
      <w:pPr>
        <w:pStyle w:val="Heading1"/>
        <w:keepNext w:val="0"/>
      </w:pPr>
      <w:r>
        <w:t xml:space="preserve">There are some further minor and technical changes to the </w:t>
      </w:r>
      <w:r w:rsidR="00772D1D">
        <w:t>Articles of Association that are</w:t>
      </w:r>
      <w:r>
        <w:t xml:space="preserve"> being proposed.  The only changes of substance relate to changes to the role of Company Secretary, refle</w:t>
      </w:r>
      <w:r w:rsidR="00772D1D">
        <w:t>cting the recent out-sourcing of this function</w:t>
      </w:r>
      <w:r w:rsidR="00371FC2">
        <w:t xml:space="preserve">.  In particular, various </w:t>
      </w:r>
      <w:r>
        <w:t>of the obligations of the Company Secretary in rela</w:t>
      </w:r>
      <w:r w:rsidR="00772D1D">
        <w:t>tion to meetings of Council are</w:t>
      </w:r>
      <w:r>
        <w:t xml:space="preserve"> to be assumed by the Chairman</w:t>
      </w:r>
      <w:r w:rsidR="00772D1D">
        <w:t xml:space="preserve"> of Council.  These changes are</w:t>
      </w:r>
      <w:r>
        <w:t xml:space="preserve"> to be proposed in the form set out in the special re</w:t>
      </w:r>
      <w:r w:rsidR="00772D1D">
        <w:t>solution set out in paragraph 4 of the Schedule</w:t>
      </w:r>
      <w:r>
        <w:t>.</w:t>
      </w:r>
    </w:p>
    <w:p w:rsidR="009F66CC" w:rsidRDefault="009F66CC" w:rsidP="009F66CC">
      <w:pPr>
        <w:pStyle w:val="Heading1"/>
        <w:keepNext w:val="0"/>
      </w:pPr>
      <w:r>
        <w:t xml:space="preserve">There are also some proposed changes to the Procedural Bye Laws reflecting the out-sourcing of the role of Company Secretary and the consequent assumption of various </w:t>
      </w:r>
      <w:r>
        <w:lastRenderedPageBreak/>
        <w:t>duties by the Chairman of the Council (or, where this is inappropriate</w:t>
      </w:r>
      <w:r w:rsidR="00F23D61">
        <w:t>,</w:t>
      </w:r>
      <w:r>
        <w:t xml:space="preserve"> by the Non-Executive Chairman).  These changes are set out in the ordinary resolution set out in paragraph 5 of the Schedule.</w:t>
      </w:r>
    </w:p>
    <w:p w:rsidR="00104A1D" w:rsidRDefault="00104A1D" w:rsidP="009F66CC">
      <w:pPr>
        <w:pStyle w:val="Heading1"/>
        <w:keepNext w:val="0"/>
      </w:pPr>
      <w:r>
        <w:t>In addition to the changes to the Direct Mem</w:t>
      </w:r>
      <w:r w:rsidR="00772D1D">
        <w:t>bers Bye Laws referred to in 2</w:t>
      </w:r>
      <w:r>
        <w:t xml:space="preserve"> above, there are further changes of a more </w:t>
      </w:r>
      <w:r w:rsidR="00CD3823">
        <w:t>administrative nature that are requir</w:t>
      </w:r>
      <w:r w:rsidR="00EB21F5">
        <w:t>ed</w:t>
      </w:r>
      <w:r w:rsidR="00242184">
        <w:t xml:space="preserve"> to reflect the changes in membership </w:t>
      </w:r>
      <w:r w:rsidR="00CD3823">
        <w:t>categories, fees and benefits that ha</w:t>
      </w:r>
      <w:r w:rsidR="00242184">
        <w:t>ve been implemented since 2012</w:t>
      </w:r>
      <w:r w:rsidR="00CD3823">
        <w:t>.  These proposed changes, to be implemented by the ordinary re</w:t>
      </w:r>
      <w:r w:rsidR="00242184">
        <w:t xml:space="preserve">solution set out in </w:t>
      </w:r>
      <w:r w:rsidR="00F23D61">
        <w:t xml:space="preserve">paragraph 6 </w:t>
      </w:r>
      <w:r w:rsidR="000D0D2F">
        <w:t xml:space="preserve">of </w:t>
      </w:r>
      <w:r w:rsidR="00242184">
        <w:t>the Schedule</w:t>
      </w:r>
      <w:r w:rsidR="00CD3823">
        <w:t>, are set out in the draft Direct Members Bye Laws that accompany the AGM agenda.</w:t>
      </w:r>
    </w:p>
    <w:p w:rsidR="004B1352" w:rsidRDefault="004B1352" w:rsidP="009F66CC">
      <w:pPr>
        <w:pStyle w:val="Heading1"/>
        <w:keepNext w:val="0"/>
      </w:pPr>
      <w:r>
        <w:t>As regards the amendments</w:t>
      </w:r>
      <w:r w:rsidR="001F1640">
        <w:t xml:space="preserve"> that the Board has made</w:t>
      </w:r>
      <w:r>
        <w:t xml:space="preserve"> to Regulations No.1 (The Bids Regulations), Regulation No. 2</w:t>
      </w:r>
      <w:r w:rsidR="001F1640">
        <w:t xml:space="preserve"> (The Directors and Officers Responsibilities Regulations) and Regulation No. 3 (The Coaches Regulations), all of which accompany the AGM agenda, </w:t>
      </w:r>
      <w:r w:rsidR="00EB05FC">
        <w:t>the most noteworthy changes are as follows:</w:t>
      </w:r>
    </w:p>
    <w:p w:rsidR="00EB05FC" w:rsidRDefault="00EB05FC" w:rsidP="009F66CC">
      <w:pPr>
        <w:pStyle w:val="Heading3"/>
      </w:pPr>
      <w:r>
        <w:t>The changes to Regu</w:t>
      </w:r>
      <w:r w:rsidR="00371FC2">
        <w:t>lation No.3 reflect changes in child protection rules</w:t>
      </w:r>
      <w:r>
        <w:t xml:space="preserve"> and the separation of the Arbiters Regulations (previously noted by Council) into a separate regulation No. 6;</w:t>
      </w:r>
    </w:p>
    <w:p w:rsidR="00EB05FC" w:rsidRDefault="003A4CB4" w:rsidP="009F66CC">
      <w:pPr>
        <w:pStyle w:val="Heading3"/>
      </w:pPr>
      <w:r>
        <w:t>The</w:t>
      </w:r>
      <w:r w:rsidR="00EB05FC">
        <w:t xml:space="preserve"> changes to Regulation No. 2 </w:t>
      </w:r>
      <w:r>
        <w:t xml:space="preserve">reflect changes to </w:t>
      </w:r>
      <w:r w:rsidR="00371FC2">
        <w:t xml:space="preserve">the detail of areas of responsibility within existing </w:t>
      </w:r>
      <w:r>
        <w:t>board posts (and to functions within those</w:t>
      </w:r>
      <w:r w:rsidR="00371FC2">
        <w:t xml:space="preserve"> posts).</w:t>
      </w:r>
      <w:r>
        <w:t>.</w:t>
      </w:r>
      <w:r w:rsidR="00EB05FC">
        <w:t xml:space="preserve"> </w:t>
      </w:r>
    </w:p>
    <w:p w:rsidR="009F66CC" w:rsidRPr="004B1352" w:rsidRDefault="009F66CC" w:rsidP="003A4CB4">
      <w:pPr>
        <w:ind w:left="1418" w:hanging="713"/>
      </w:pPr>
    </w:p>
    <w:p w:rsidR="00CD3823" w:rsidRDefault="00CD3823" w:rsidP="00CD3823">
      <w:pPr>
        <w:sectPr w:rsidR="00CD3823" w:rsidSect="00C41A4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720" w:footer="709" w:gutter="0"/>
          <w:paperSrc w:first="15" w:other="15"/>
          <w:pgNumType w:start="1"/>
          <w:cols w:space="708"/>
          <w:titlePg/>
          <w:docGrid w:linePitch="360"/>
        </w:sectPr>
      </w:pPr>
    </w:p>
    <w:p w:rsidR="00CD3823" w:rsidRDefault="00CD3823" w:rsidP="00CD3823">
      <w:pPr>
        <w:jc w:val="center"/>
        <w:rPr>
          <w:b/>
          <w:u w:val="single"/>
        </w:rPr>
      </w:pPr>
      <w:r>
        <w:rPr>
          <w:b/>
          <w:u w:val="single"/>
        </w:rPr>
        <w:lastRenderedPageBreak/>
        <w:t>Schedule</w:t>
      </w:r>
    </w:p>
    <w:p w:rsidR="00CD3823" w:rsidRDefault="00CD3823" w:rsidP="003648BC">
      <w:pPr>
        <w:pStyle w:val="Heading1"/>
        <w:numPr>
          <w:ilvl w:val="0"/>
          <w:numId w:val="42"/>
        </w:numPr>
        <w:jc w:val="both"/>
      </w:pPr>
      <w:r>
        <w:t>Special Resolution to amend the Articles of Association to implement voting reform.</w:t>
      </w:r>
    </w:p>
    <w:p w:rsidR="003648BC" w:rsidRDefault="003648BC" w:rsidP="003648BC">
      <w:pPr>
        <w:ind w:left="709"/>
        <w:jc w:val="both"/>
      </w:pPr>
      <w:r>
        <w:t>THAT</w:t>
      </w:r>
      <w:r w:rsidR="00822876">
        <w:t xml:space="preserve">, subject to the passing </w:t>
      </w:r>
      <w:r w:rsidR="00DA1EF8">
        <w:t>of Resolution 2 (whether or not amended),</w:t>
      </w:r>
      <w:r>
        <w:t xml:space="preserve"> the Articles of Association of the Company be amended by:</w:t>
      </w:r>
    </w:p>
    <w:p w:rsidR="003648BC" w:rsidRDefault="003648BC" w:rsidP="003648BC">
      <w:pPr>
        <w:ind w:left="709"/>
        <w:jc w:val="both"/>
      </w:pPr>
      <w:r>
        <w:t>(i)</w:t>
      </w:r>
      <w:r>
        <w:tab/>
        <w:t>deleting the words “who are also of that category” in Article 7 (b);</w:t>
      </w:r>
    </w:p>
    <w:p w:rsidR="003648BC" w:rsidRDefault="003648BC" w:rsidP="003648BC">
      <w:pPr>
        <w:ind w:left="1418" w:hanging="709"/>
        <w:jc w:val="both"/>
      </w:pPr>
      <w:r>
        <w:t>(ii)</w:t>
      </w:r>
      <w:r>
        <w:tab/>
        <w:t xml:space="preserve">deleting the first sentence of Article 13 and replacing it with the following: “Direct Members shall elect </w:t>
      </w:r>
      <w:r w:rsidR="000D0D2F">
        <w:t xml:space="preserve">ten Direct Members’ </w:t>
      </w:r>
      <w:r>
        <w:t>Representatives</w:t>
      </w:r>
      <w:r w:rsidR="00DF6116">
        <w:t xml:space="preserve"> (or such other number as is specified from time to time in the Direct Members Bye Laws)</w:t>
      </w:r>
      <w:r>
        <w:t xml:space="preserve"> in categories to serve on the Council for a period from 1</w:t>
      </w:r>
      <w:r w:rsidRPr="003648BC">
        <w:rPr>
          <w:vertAlign w:val="superscript"/>
        </w:rPr>
        <w:t>st</w:t>
      </w:r>
      <w:r>
        <w:t xml:space="preserve"> August in the</w:t>
      </w:r>
      <w:r w:rsidR="000D0D2F">
        <w:t xml:space="preserve"> year in which elected (or nominated</w:t>
      </w:r>
      <w:r>
        <w:t xml:space="preserve"> if there is no election</w:t>
      </w:r>
      <w:r w:rsidR="000D0D2F">
        <w:t>)</w:t>
      </w:r>
      <w:r>
        <w:t xml:space="preserve"> until 31</w:t>
      </w:r>
      <w:r w:rsidRPr="003648BC">
        <w:rPr>
          <w:vertAlign w:val="superscript"/>
        </w:rPr>
        <w:t>st</w:t>
      </w:r>
      <w:r>
        <w:t xml:space="preserve"> July in the following year.  Direct Members’ Representatives </w:t>
      </w:r>
      <w:r w:rsidR="00371FC2">
        <w:t>taking office from the end</w:t>
      </w:r>
      <w:r w:rsidR="00DF6116">
        <w:t xml:space="preserve"> of </w:t>
      </w:r>
      <w:r>
        <w:t>the 2017 Annual General Meeting shall hold office until 31</w:t>
      </w:r>
      <w:r w:rsidRPr="003648BC">
        <w:rPr>
          <w:vertAlign w:val="superscript"/>
        </w:rPr>
        <w:t>st</w:t>
      </w:r>
      <w:r>
        <w:t xml:space="preserve"> July 2018.  Direct Members’ Representative</w:t>
      </w:r>
      <w:r w:rsidR="000D0D2F">
        <w:t>s</w:t>
      </w:r>
      <w:r>
        <w:t xml:space="preserve"> shall be entitled to stand for re-election</w:t>
      </w:r>
      <w:r w:rsidR="000D0D2F">
        <w:t>”;</w:t>
      </w:r>
    </w:p>
    <w:p w:rsidR="003648BC" w:rsidRDefault="003648BC" w:rsidP="003648BC">
      <w:pPr>
        <w:ind w:left="1418" w:hanging="709"/>
        <w:jc w:val="both"/>
      </w:pPr>
      <w:r>
        <w:t>(iii)</w:t>
      </w:r>
      <w:r>
        <w:tab/>
        <w:t>inserting after the word</w:t>
      </w:r>
      <w:r w:rsidR="000D0D2F">
        <w:t xml:space="preserve"> “Council” in Article 14 the words </w:t>
      </w:r>
      <w:r>
        <w:t>“provided that each such appointment shall be subject to the prior approval of the Chairman of the Council”</w:t>
      </w:r>
      <w:r w:rsidR="000D0D2F">
        <w:t>;</w:t>
      </w:r>
    </w:p>
    <w:p w:rsidR="003648BC" w:rsidRDefault="003648BC" w:rsidP="003648BC">
      <w:pPr>
        <w:ind w:left="1418" w:hanging="709"/>
        <w:jc w:val="both"/>
      </w:pPr>
      <w:r>
        <w:t>[(iv)</w:t>
      </w:r>
      <w:r>
        <w:tab/>
        <w:t>deleting the words “end of the next Annual General Meeting of Council” in Article 14 and replacing them with the words “next following 31</w:t>
      </w:r>
      <w:r w:rsidRPr="003648BC">
        <w:rPr>
          <w:vertAlign w:val="superscript"/>
        </w:rPr>
        <w:t>st</w:t>
      </w:r>
      <w:r w:rsidR="000D0D2F">
        <w:t xml:space="preserve"> July”;</w:t>
      </w:r>
    </w:p>
    <w:p w:rsidR="003648BC" w:rsidRDefault="003648BC" w:rsidP="003648BC">
      <w:pPr>
        <w:ind w:left="1418" w:hanging="709"/>
        <w:jc w:val="both"/>
      </w:pPr>
      <w:r>
        <w:t>(v)</w:t>
      </w:r>
      <w:r>
        <w:tab/>
        <w:t>deleting the existing Article 30(2) and replacing it with the following: “30(2) In respect of the Direct Members’ Representatives the votes, not exceeding 40 in aggregate, as apportioned between Direct Members’ Representatives by the Direct Members Bye Laws”.</w:t>
      </w:r>
    </w:p>
    <w:p w:rsidR="003648BC" w:rsidRDefault="003648BC" w:rsidP="003648BC">
      <w:pPr>
        <w:pStyle w:val="Heading1"/>
        <w:jc w:val="both"/>
      </w:pPr>
      <w:r>
        <w:t>Ordinary Resolution to amend Bye Law No. 1  The Direct Members’ Bye Law</w:t>
      </w:r>
      <w:r w:rsidR="000D0D2F">
        <w:t>s to implement v</w:t>
      </w:r>
      <w:r>
        <w:t>oting reform</w:t>
      </w:r>
    </w:p>
    <w:p w:rsidR="00AC57B9" w:rsidRDefault="00AC57B9" w:rsidP="00AC57B9">
      <w:pPr>
        <w:ind w:left="709"/>
      </w:pPr>
      <w:r>
        <w:t>THAT</w:t>
      </w:r>
      <w:r w:rsidR="00DA1EF8">
        <w:t>, subject to the passing of Resolution 1,</w:t>
      </w:r>
      <w:r>
        <w:t xml:space="preserve"> the Direct Member Bye Laws be amended by deleting the existing paragraphs 5.1, 5.2 and 5.3 and replacing them with the following:</w:t>
      </w:r>
    </w:p>
    <w:p w:rsidR="00AC57B9" w:rsidRDefault="00594C1D" w:rsidP="00594C1D">
      <w:pPr>
        <w:ind w:left="1418" w:hanging="709"/>
      </w:pPr>
      <w:r>
        <w:t>“5.1</w:t>
      </w:r>
      <w:r>
        <w:tab/>
        <w:t>The Direct Member</w:t>
      </w:r>
      <w:r w:rsidR="000D0D2F">
        <w:t>s</w:t>
      </w:r>
      <w:r>
        <w:t xml:space="preserve"> shall be grouped into the following categories for the purpose of electing the Direct Members’ Representative</w:t>
      </w:r>
      <w:r w:rsidR="000D0D2F">
        <w:t>s</w:t>
      </w:r>
      <w:r>
        <w:t>:</w:t>
      </w:r>
    </w:p>
    <w:p w:rsidR="00594C1D" w:rsidRDefault="00594C1D" w:rsidP="00594C1D">
      <w:pPr>
        <w:ind w:left="2127" w:hanging="710"/>
      </w:pPr>
      <w:r>
        <w:t>(a)</w:t>
      </w:r>
      <w:r>
        <w:tab/>
        <w:t>Honorary Life Vic</w:t>
      </w:r>
      <w:r w:rsidR="00822876">
        <w:t>e Presidents, Honorary Life Members</w:t>
      </w:r>
      <w:r w:rsidR="00371FC2">
        <w:t xml:space="preserve"> and Life Members</w:t>
      </w:r>
      <w:r w:rsidR="000D0D2F">
        <w:t>.</w:t>
      </w:r>
    </w:p>
    <w:p w:rsidR="00F23D61" w:rsidRDefault="00594C1D" w:rsidP="00594C1D">
      <w:pPr>
        <w:ind w:left="2127" w:hanging="710"/>
      </w:pPr>
      <w:r>
        <w:t>(b)</w:t>
      </w:r>
      <w:r>
        <w:tab/>
      </w:r>
      <w:r w:rsidR="00F23D61">
        <w:t>Platinum Members;</w:t>
      </w:r>
    </w:p>
    <w:p w:rsidR="00594C1D" w:rsidRDefault="00F23D61" w:rsidP="00594C1D">
      <w:pPr>
        <w:ind w:left="2127" w:hanging="710"/>
      </w:pPr>
      <w:r>
        <w:t>(c)</w:t>
      </w:r>
      <w:r>
        <w:tab/>
      </w:r>
      <w:r w:rsidR="00594C1D">
        <w:t>Gold Members and Gold Concessionary Members.</w:t>
      </w:r>
    </w:p>
    <w:p w:rsidR="00594C1D" w:rsidRDefault="00F23D61" w:rsidP="00594C1D">
      <w:pPr>
        <w:ind w:left="2127" w:hanging="710"/>
      </w:pPr>
      <w:r>
        <w:t>(d</w:t>
      </w:r>
      <w:r w:rsidR="00594C1D">
        <w:t>)</w:t>
      </w:r>
      <w:r w:rsidR="00594C1D">
        <w:tab/>
        <w:t>Silver Members and Silver Concessionary Members.</w:t>
      </w:r>
    </w:p>
    <w:p w:rsidR="00594C1D" w:rsidRDefault="00F23D61" w:rsidP="00F23D61">
      <w:pPr>
        <w:ind w:left="2127" w:hanging="710"/>
      </w:pPr>
      <w:r>
        <w:lastRenderedPageBreak/>
        <w:t>(e</w:t>
      </w:r>
      <w:r w:rsidR="00594C1D">
        <w:t>)</w:t>
      </w:r>
      <w:r w:rsidR="00594C1D">
        <w:tab/>
        <w:t>Bronze Members and Bronze Concessionary Members.</w:t>
      </w:r>
    </w:p>
    <w:p w:rsidR="00594C1D" w:rsidRDefault="00594C1D" w:rsidP="00594C1D">
      <w:pPr>
        <w:ind w:left="1418" w:hanging="709"/>
      </w:pPr>
      <w:r>
        <w:t>5.2</w:t>
      </w:r>
      <w:r>
        <w:tab/>
        <w:t>Each of the five categories in 5.1 shall be entitled each year to elect two representatives (who shall be Direct Members but not necessarily of the relevant category).  For the purposes of Article 30 of the Articles</w:t>
      </w:r>
      <w:r w:rsidR="000D0D2F">
        <w:t>,</w:t>
      </w:r>
      <w:r>
        <w:t xml:space="preserve"> represe</w:t>
      </w:r>
      <w:r w:rsidR="00E66AFD">
        <w:t>ntatives elected under (a) or (b</w:t>
      </w:r>
      <w:r>
        <w:t>) above shall be entitled to</w:t>
      </w:r>
      <w:r w:rsidR="00822876">
        <w:t xml:space="preserve"> one vote each and representatives </w:t>
      </w:r>
      <w:r w:rsidR="00E66AFD">
        <w:t>elected under (c), (d) or (e</w:t>
      </w:r>
      <w:r>
        <w:t xml:space="preserve">) shall be entitled to six votes each. </w:t>
      </w:r>
    </w:p>
    <w:p w:rsidR="00594C1D" w:rsidRDefault="00E66AFD" w:rsidP="00594C1D">
      <w:pPr>
        <w:ind w:left="1418" w:hanging="709"/>
      </w:pPr>
      <w:r>
        <w:t>5.3</w:t>
      </w:r>
      <w:r>
        <w:tab/>
        <w:t>Candidates</w:t>
      </w:r>
      <w:r w:rsidR="00594C1D">
        <w:t xml:space="preserve"> for Direct Members</w:t>
      </w:r>
      <w:r w:rsidR="00EE042D">
        <w:t>’</w:t>
      </w:r>
      <w:r w:rsidR="00594C1D">
        <w:t xml:space="preserve"> Representatives shall be sought in June each year.  If the</w:t>
      </w:r>
      <w:r>
        <w:t>re are more than two candidate</w:t>
      </w:r>
      <w:r w:rsidR="00594C1D">
        <w:t xml:space="preserve"> in respect of any category a </w:t>
      </w:r>
      <w:r>
        <w:t>“</w:t>
      </w:r>
      <w:r w:rsidR="00594C1D">
        <w:t>first two past the post</w:t>
      </w:r>
      <w:r>
        <w:t>”</w:t>
      </w:r>
      <w:r w:rsidR="00594C1D">
        <w:t xml:space="preserve"> election shall be held in that category in July of such year in accordance with instructions issued by the Board.  Voting shall principally be by email but votes sent by post shall also be accepted.</w:t>
      </w:r>
      <w:r w:rsidR="00DF6116">
        <w:t xml:space="preserve">  Any election address shall disclose, in relation to the candidate, the membership category of which the candidate is a member.</w:t>
      </w:r>
      <w:r>
        <w:t>”</w:t>
      </w:r>
    </w:p>
    <w:p w:rsidR="00594C1D" w:rsidRDefault="00594C1D" w:rsidP="00594C1D">
      <w:pPr>
        <w:pStyle w:val="Heading1"/>
      </w:pPr>
      <w:r>
        <w:t xml:space="preserve">Special Resolution to amend the Articles of Association </w:t>
      </w:r>
      <w:r w:rsidR="00790785">
        <w:t>to implement voting transparency</w:t>
      </w:r>
      <w:r>
        <w:t>.</w:t>
      </w:r>
    </w:p>
    <w:p w:rsidR="00594C1D" w:rsidRDefault="000C76C6" w:rsidP="00A067A4">
      <w:pPr>
        <w:ind w:left="709"/>
      </w:pPr>
      <w:r>
        <w:t xml:space="preserve">THAT the Articles of Association of the Company be amended by deleting the final </w:t>
      </w:r>
      <w:r w:rsidR="00A067A4">
        <w:t>sentence of A</w:t>
      </w:r>
      <w:r>
        <w:t>rticle 28 and replacing it with the following; “In respect of votes by poll where the vote is in respect of the election of a person to an office or post, the Tellers shall keep confidential the details of all votes cast except for the totals ther</w:t>
      </w:r>
      <w:r w:rsidR="00BC03A8">
        <w:t>e</w:t>
      </w:r>
      <w:r>
        <w:t>of</w:t>
      </w:r>
      <w:r w:rsidR="00BC03A8">
        <w:t>. In respect of all other votes by poll the chairman shall cause to be published on the Company’s website as soon as reasonably practicable following the meeting details of how the votes of each</w:t>
      </w:r>
      <w:r w:rsidR="00A067A4">
        <w:t xml:space="preserve"> member were cast. At the end of the meeting the Tellers shall deliver any ballot papers to the chairman”.</w:t>
      </w:r>
      <w:r w:rsidR="00BC03A8">
        <w:t xml:space="preserve">   </w:t>
      </w:r>
    </w:p>
    <w:p w:rsidR="00594C1D" w:rsidRDefault="00594C1D" w:rsidP="00594C1D">
      <w:pPr>
        <w:pStyle w:val="Heading1"/>
      </w:pPr>
      <w:r>
        <w:t>Special Resolution to make minor or technical changes to the Articles of Association.</w:t>
      </w:r>
    </w:p>
    <w:p w:rsidR="00594C1D" w:rsidRDefault="00594C1D" w:rsidP="00594C1D">
      <w:pPr>
        <w:ind w:left="709"/>
      </w:pPr>
      <w:r>
        <w:t>THAT the Articles of Association of the Company be amended by:</w:t>
      </w:r>
    </w:p>
    <w:p w:rsidR="00594C1D" w:rsidRDefault="00594C1D" w:rsidP="00594C1D">
      <w:pPr>
        <w:ind w:left="1417" w:hanging="708"/>
      </w:pPr>
      <w:r>
        <w:t>(i)</w:t>
      </w:r>
      <w:r>
        <w:tab/>
        <w:t>replacing the words “Article 5(14)” with the words “Article 5(16)” in the definition of “Direct Members” in Article 1.1;</w:t>
      </w:r>
    </w:p>
    <w:p w:rsidR="00594C1D" w:rsidRDefault="00594C1D" w:rsidP="00594C1D">
      <w:pPr>
        <w:ind w:left="1417" w:hanging="708"/>
      </w:pPr>
      <w:r>
        <w:t>(ii)</w:t>
      </w:r>
      <w:r>
        <w:tab/>
        <w:t>replacing the word “Secretary” with the words “Chairman of Council” in each of Article 17(8), Article 18(8) and Article 22;</w:t>
      </w:r>
    </w:p>
    <w:p w:rsidR="00594C1D" w:rsidRDefault="00594C1D" w:rsidP="00594C1D">
      <w:pPr>
        <w:ind w:left="1417" w:hanging="708"/>
      </w:pPr>
      <w:r>
        <w:t>(iii)</w:t>
      </w:r>
      <w:r>
        <w:tab/>
      </w:r>
      <w:r w:rsidR="00A067A4">
        <w:t xml:space="preserve">if Resolution 3 above is not passed, </w:t>
      </w:r>
      <w:r>
        <w:t>replacing the word “Secretary</w:t>
      </w:r>
      <w:r w:rsidR="00790785">
        <w:t>,</w:t>
      </w:r>
      <w:r>
        <w:t>” with the word “chairman” in Article 28;</w:t>
      </w:r>
    </w:p>
    <w:p w:rsidR="00594C1D" w:rsidRDefault="00594C1D" w:rsidP="00594C1D">
      <w:pPr>
        <w:ind w:left="1417" w:hanging="708"/>
      </w:pPr>
      <w:r>
        <w:t>(iv)</w:t>
      </w:r>
      <w:r>
        <w:tab/>
        <w:t>deleting the words “or to the Secretary” in Article 37(4);</w:t>
      </w:r>
    </w:p>
    <w:p w:rsidR="00594C1D" w:rsidRDefault="00594C1D" w:rsidP="00594C1D">
      <w:pPr>
        <w:ind w:left="1417" w:hanging="708"/>
      </w:pPr>
      <w:r>
        <w:t>(v)</w:t>
      </w:r>
      <w:r>
        <w:tab/>
        <w:t>deleting the words “the Secretary” in Article 49(2);</w:t>
      </w:r>
    </w:p>
    <w:p w:rsidR="00594C1D" w:rsidRDefault="00790785" w:rsidP="00594C1D">
      <w:pPr>
        <w:ind w:left="1417" w:hanging="708"/>
      </w:pPr>
      <w:r>
        <w:t>(vi)</w:t>
      </w:r>
      <w:r>
        <w:tab/>
        <w:t>replacing the words</w:t>
      </w:r>
      <w:r w:rsidR="00594C1D">
        <w:t xml:space="preserve"> “these Articles and to such Bye Law” with the words “and these Articles” in Article 51.</w:t>
      </w:r>
    </w:p>
    <w:p w:rsidR="00DF6116" w:rsidRDefault="00DF6116" w:rsidP="00A067A4">
      <w:pPr>
        <w:pStyle w:val="Heading1"/>
      </w:pPr>
      <w:r>
        <w:lastRenderedPageBreak/>
        <w:t>Ordinary Resolution to amend Bye Law No. 3  The Procedural Bye Laws</w:t>
      </w:r>
    </w:p>
    <w:p w:rsidR="00DF6116" w:rsidRDefault="00DF6116" w:rsidP="00DF6116">
      <w:pPr>
        <w:ind w:left="709"/>
      </w:pPr>
      <w:r>
        <w:t>THAT the Procedural Bye Laws be amended by:</w:t>
      </w:r>
    </w:p>
    <w:p w:rsidR="00DF6116" w:rsidRDefault="00DF6116" w:rsidP="00DF6116">
      <w:pPr>
        <w:pStyle w:val="Heading4"/>
        <w:tabs>
          <w:tab w:val="clear" w:pos="2126"/>
          <w:tab w:val="num" w:pos="1417"/>
        </w:tabs>
        <w:ind w:left="1418"/>
      </w:pPr>
      <w:r>
        <w:t>replacing the word "Secretary" with the words "Chairman of Council" in paragraph 2.2, paragraph 5.3, paragraph 12.2, paragraph 12.3, paragraph 12.4</w:t>
      </w:r>
      <w:r w:rsidR="0083691E">
        <w:t>, the first clause of paragraph 12.8 and paragraph 12.10;</w:t>
      </w:r>
    </w:p>
    <w:p w:rsidR="0083691E" w:rsidRDefault="0083691E" w:rsidP="0083691E">
      <w:pPr>
        <w:pStyle w:val="Heading4"/>
        <w:tabs>
          <w:tab w:val="clear" w:pos="2126"/>
          <w:tab w:val="num" w:pos="1417"/>
        </w:tabs>
        <w:ind w:left="1418"/>
      </w:pPr>
      <w:r>
        <w:t>replacing the word "Secretary" with the words "Non-Executive Chairman" in paragraph 6.1.1, paragraph 6.1.10 and paragraph 6.1.11;</w:t>
      </w:r>
    </w:p>
    <w:p w:rsidR="0083691E" w:rsidRDefault="0083691E" w:rsidP="0083691E">
      <w:pPr>
        <w:pStyle w:val="Heading4"/>
        <w:tabs>
          <w:tab w:val="clear" w:pos="2126"/>
          <w:tab w:val="num" w:pos="1417"/>
        </w:tabs>
        <w:ind w:left="1418"/>
      </w:pPr>
      <w:r>
        <w:t>deleting the existing paragraph 12.5 and replacing it with "For a candidate to be eligible for election a nomination must be received by the ECF Office on behalf of the Secretary (or such other addressee as may be specified in the advertisement referred to in paragraph 12.3) no later than 37 days before the Annual General Meeting.";</w:t>
      </w:r>
    </w:p>
    <w:p w:rsidR="0083691E" w:rsidRDefault="0083691E" w:rsidP="0083691E">
      <w:pPr>
        <w:pStyle w:val="Heading4"/>
        <w:tabs>
          <w:tab w:val="clear" w:pos="2126"/>
          <w:tab w:val="num" w:pos="1417"/>
        </w:tabs>
        <w:ind w:left="1418"/>
      </w:pPr>
      <w:r>
        <w:t>deleting from paragraph 12.7 the words "to the Secretary received by him";</w:t>
      </w:r>
    </w:p>
    <w:p w:rsidR="0083691E" w:rsidRPr="0083691E" w:rsidRDefault="0083691E" w:rsidP="0083691E">
      <w:pPr>
        <w:pStyle w:val="Heading4"/>
        <w:tabs>
          <w:tab w:val="clear" w:pos="2126"/>
          <w:tab w:val="num" w:pos="1417"/>
        </w:tabs>
        <w:ind w:left="1418"/>
      </w:pPr>
      <w:r>
        <w:t>deleting in paragraph 12.8.1 the words "judged by the Secretary to be defamatory</w:t>
      </w:r>
      <w:r w:rsidR="00F23D61">
        <w:t>”</w:t>
      </w:r>
      <w:r>
        <w:t xml:space="preserve"> with the words "judged by the Chairman of the Council to be defamatory, or, if the address is the address of the Chairman of the Council or is in respect of a post for which the Chairman of the Council is applying, judged by the Non-Executive Chairman to be defamatory"</w:t>
      </w:r>
      <w:r w:rsidR="00AF2478">
        <w:t>.</w:t>
      </w:r>
    </w:p>
    <w:p w:rsidR="00A067A4" w:rsidRDefault="00A067A4" w:rsidP="00A067A4">
      <w:pPr>
        <w:pStyle w:val="Heading1"/>
      </w:pPr>
      <w:r>
        <w:t>Ordinary Resolution to a</w:t>
      </w:r>
      <w:r w:rsidR="008B36EE">
        <w:t>mend Bye Law No. 1  T</w:t>
      </w:r>
      <w:r>
        <w:t>he Direct Members Bye Laws</w:t>
      </w:r>
    </w:p>
    <w:p w:rsidR="008B36EE" w:rsidRPr="008B36EE" w:rsidRDefault="008B36EE" w:rsidP="008B36EE">
      <w:pPr>
        <w:ind w:left="709"/>
      </w:pPr>
      <w:r>
        <w:t>THAT the existing Bye Law No. 1 be replaced by the Direct Members Bye Laws</w:t>
      </w:r>
      <w:r w:rsidR="00F93945">
        <w:t xml:space="preserve"> in the form of the draft document produced to the meeting and initialled by the chairman for the purposes of identification, provided always that if Resolution 2</w:t>
      </w:r>
      <w:r w:rsidR="00A73995">
        <w:t xml:space="preserve"> </w:t>
      </w:r>
      <w:r w:rsidR="00F93945">
        <w:t>above is passed then paragraphs 5.1 to 5.3 of such draft document shall be replaced by the wording adopted pursuant to Resolution 2</w:t>
      </w:r>
      <w:r w:rsidR="00A73995">
        <w:t>.</w:t>
      </w:r>
    </w:p>
    <w:sectPr w:rsidR="008B36EE" w:rsidRPr="008B36EE" w:rsidSect="00C41A4C">
      <w:pgSz w:w="11906" w:h="16838" w:code="9"/>
      <w:pgMar w:top="1418" w:right="1701" w:bottom="1418" w:left="1701" w:header="720" w:footer="709" w:gutter="0"/>
      <w:paperSrc w:first="15"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1D" w:rsidRDefault="00594C1D" w:rsidP="00FB3830">
      <w:pPr>
        <w:spacing w:after="0" w:line="240" w:lineRule="auto"/>
      </w:pPr>
      <w:r>
        <w:separator/>
      </w:r>
    </w:p>
  </w:endnote>
  <w:endnote w:type="continuationSeparator" w:id="0">
    <w:p w:rsidR="00594C1D" w:rsidRDefault="00594C1D" w:rsidP="00FB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20" w:rsidRDefault="00B46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1D" w:rsidRDefault="00594C1D" w:rsidP="00153CD0">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728"/>
      <w:gridCol w:w="1357"/>
    </w:tblGrid>
    <w:tr w:rsidR="00594C1D" w:rsidTr="00594C1D">
      <w:tc>
        <w:tcPr>
          <w:tcW w:w="834" w:type="pct"/>
          <w:vAlign w:val="center"/>
        </w:tcPr>
        <w:p w:rsidR="00594C1D" w:rsidRPr="0038017A" w:rsidRDefault="00594C1D" w:rsidP="00594C1D">
          <w:pPr>
            <w:pStyle w:val="Footer"/>
          </w:pPr>
        </w:p>
      </w:tc>
      <w:tc>
        <w:tcPr>
          <w:tcW w:w="3368" w:type="pct"/>
          <w:vAlign w:val="center"/>
        </w:tcPr>
        <w:p w:rsidR="00594C1D" w:rsidRPr="0038017A" w:rsidRDefault="00192441" w:rsidP="00594C1D">
          <w:pPr>
            <w:pStyle w:val="Footer"/>
            <w:jc w:val="center"/>
          </w:pPr>
          <w:fldSimple w:instr=" DOCPROPERTY  udp_CMNumber ">
            <w:r>
              <w:t>224109/10013</w:t>
            </w:r>
          </w:fldSimple>
          <w:r w:rsidR="00594C1D" w:rsidRPr="0038017A">
            <w:t xml:space="preserve">  </w:t>
          </w:r>
          <w:fldSimple w:instr=" DOCPROPERTY  udp_DeptCode ">
            <w:r>
              <w:t>CE</w:t>
            </w:r>
          </w:fldSimple>
          <w:r w:rsidR="00594C1D" w:rsidRPr="0038017A">
            <w:t xml:space="preserve">  </w:t>
          </w:r>
          <w:r w:rsidR="00594C1D" w:rsidRPr="0038017A">
            <w:fldChar w:fldCharType="begin"/>
          </w:r>
          <w:r w:rsidR="00594C1D" w:rsidRPr="0038017A">
            <w:instrText xml:space="preserve"> DOCPROPERTY udp_DocID</w:instrText>
          </w:r>
          <w:r w:rsidR="00594C1D" w:rsidRPr="0038017A">
            <w:fldChar w:fldCharType="separate"/>
          </w:r>
          <w:r>
            <w:t>545942076</w:t>
          </w:r>
          <w:r w:rsidR="00594C1D" w:rsidRPr="0038017A">
            <w:fldChar w:fldCharType="end"/>
          </w:r>
          <w:r w:rsidR="00594C1D" w:rsidRPr="0038017A">
            <w:t xml:space="preserve">  </w:t>
          </w:r>
          <w:fldSimple w:instr=" DOCPROPERTY  udp_DocVersion ">
            <w:r>
              <w:t>9</w:t>
            </w:r>
          </w:fldSimple>
          <w:r w:rsidR="00594C1D" w:rsidRPr="0038017A">
            <w:t xml:space="preserve">  </w:t>
          </w:r>
          <w:fldSimple w:instr=" DOCPROPERTY  udp_Author ">
            <w:r>
              <w:t>RCS</w:t>
            </w:r>
          </w:fldSimple>
          <w:r w:rsidR="00594C1D" w:rsidRPr="0038017A">
            <w:t xml:space="preserve">  </w:t>
          </w:r>
          <w:r w:rsidR="00594C1D" w:rsidRPr="0038017A">
            <w:fldChar w:fldCharType="begin"/>
          </w:r>
          <w:r w:rsidR="00594C1D" w:rsidRPr="0038017A">
            <w:instrText xml:space="preserve"> DATE \@ "ddMMyy:HHmm" \* MERGEFORMAT </w:instrText>
          </w:r>
          <w:r w:rsidR="00594C1D" w:rsidRPr="0038017A">
            <w:fldChar w:fldCharType="separate"/>
          </w:r>
          <w:r w:rsidR="00B46820">
            <w:rPr>
              <w:noProof/>
            </w:rPr>
            <w:t>190917:1200</w:t>
          </w:r>
          <w:r w:rsidR="00594C1D" w:rsidRPr="0038017A">
            <w:fldChar w:fldCharType="end"/>
          </w:r>
        </w:p>
      </w:tc>
      <w:tc>
        <w:tcPr>
          <w:tcW w:w="798" w:type="pct"/>
          <w:vAlign w:val="center"/>
        </w:tcPr>
        <w:p w:rsidR="00594C1D" w:rsidRDefault="00594C1D" w:rsidP="00594C1D">
          <w:pPr>
            <w:pStyle w:val="Footer"/>
            <w:ind w:left="709" w:hanging="709"/>
            <w:jc w:val="right"/>
          </w:pPr>
          <w:r>
            <w:fldChar w:fldCharType="begin"/>
          </w:r>
          <w:r>
            <w:instrText xml:space="preserve"> PAGE   \* MERGEFORMAT </w:instrText>
          </w:r>
          <w:r>
            <w:fldChar w:fldCharType="separate"/>
          </w:r>
          <w:r w:rsidR="00B46820">
            <w:rPr>
              <w:noProof/>
            </w:rPr>
            <w:t>2</w:t>
          </w:r>
          <w:r>
            <w:rPr>
              <w:noProof/>
            </w:rPr>
            <w:fldChar w:fldCharType="end"/>
          </w:r>
        </w:p>
      </w:tc>
    </w:tr>
  </w:tbl>
  <w:p w:rsidR="00594C1D" w:rsidRDefault="00594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1D" w:rsidRDefault="00594C1D" w:rsidP="00153CD0">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728"/>
      <w:gridCol w:w="1357"/>
    </w:tblGrid>
    <w:tr w:rsidR="00594C1D" w:rsidTr="00594C1D">
      <w:tc>
        <w:tcPr>
          <w:tcW w:w="834" w:type="pct"/>
          <w:vAlign w:val="center"/>
        </w:tcPr>
        <w:p w:rsidR="00594C1D" w:rsidRPr="0038017A" w:rsidRDefault="00594C1D" w:rsidP="00594C1D">
          <w:pPr>
            <w:pStyle w:val="Footer"/>
          </w:pPr>
        </w:p>
      </w:tc>
      <w:tc>
        <w:tcPr>
          <w:tcW w:w="3368" w:type="pct"/>
          <w:vAlign w:val="center"/>
        </w:tcPr>
        <w:p w:rsidR="00594C1D" w:rsidRPr="0038017A" w:rsidRDefault="00192441" w:rsidP="00594C1D">
          <w:pPr>
            <w:pStyle w:val="Footer"/>
            <w:jc w:val="center"/>
          </w:pPr>
          <w:fldSimple w:instr=" DOCPROPERTY  udp_CMNumber ">
            <w:r>
              <w:t>224109/10013</w:t>
            </w:r>
          </w:fldSimple>
          <w:r w:rsidR="00594C1D" w:rsidRPr="0038017A">
            <w:t xml:space="preserve">  </w:t>
          </w:r>
          <w:fldSimple w:instr=" DOCPROPERTY  udp_DeptCode ">
            <w:r>
              <w:t>CE</w:t>
            </w:r>
          </w:fldSimple>
          <w:r w:rsidR="00594C1D" w:rsidRPr="0038017A">
            <w:t xml:space="preserve">  </w:t>
          </w:r>
          <w:r w:rsidR="00594C1D" w:rsidRPr="0038017A">
            <w:fldChar w:fldCharType="begin"/>
          </w:r>
          <w:r w:rsidR="00594C1D" w:rsidRPr="0038017A">
            <w:instrText xml:space="preserve"> DOCPROPERTY udp_DocID</w:instrText>
          </w:r>
          <w:r w:rsidR="00594C1D" w:rsidRPr="0038017A">
            <w:fldChar w:fldCharType="separate"/>
          </w:r>
          <w:r>
            <w:t>545942076</w:t>
          </w:r>
          <w:r w:rsidR="00594C1D" w:rsidRPr="0038017A">
            <w:fldChar w:fldCharType="end"/>
          </w:r>
          <w:r w:rsidR="00594C1D" w:rsidRPr="0038017A">
            <w:t xml:space="preserve">  </w:t>
          </w:r>
          <w:fldSimple w:instr=" DOCPROPERTY  udp_DocVersion ">
            <w:r>
              <w:t>9</w:t>
            </w:r>
          </w:fldSimple>
          <w:r w:rsidR="00594C1D" w:rsidRPr="0038017A">
            <w:t xml:space="preserve">  </w:t>
          </w:r>
          <w:fldSimple w:instr=" DOCPROPERTY  udp_Author ">
            <w:r>
              <w:t>RCS</w:t>
            </w:r>
          </w:fldSimple>
          <w:r w:rsidR="00594C1D" w:rsidRPr="0038017A">
            <w:t xml:space="preserve">  </w:t>
          </w:r>
          <w:r w:rsidR="00594C1D" w:rsidRPr="0038017A">
            <w:fldChar w:fldCharType="begin"/>
          </w:r>
          <w:r w:rsidR="00594C1D" w:rsidRPr="0038017A">
            <w:instrText xml:space="preserve"> DATE \@ "ddMMyy:HHmm" \* MERGEFORMAT </w:instrText>
          </w:r>
          <w:r w:rsidR="00594C1D" w:rsidRPr="0038017A">
            <w:fldChar w:fldCharType="separate"/>
          </w:r>
          <w:r w:rsidR="00B46820">
            <w:rPr>
              <w:noProof/>
            </w:rPr>
            <w:t>190917:1200</w:t>
          </w:r>
          <w:r w:rsidR="00594C1D" w:rsidRPr="0038017A">
            <w:fldChar w:fldCharType="end"/>
          </w:r>
        </w:p>
      </w:tc>
      <w:tc>
        <w:tcPr>
          <w:tcW w:w="798" w:type="pct"/>
          <w:vAlign w:val="center"/>
        </w:tcPr>
        <w:p w:rsidR="00594C1D" w:rsidRDefault="00594C1D" w:rsidP="00594C1D">
          <w:pPr>
            <w:pStyle w:val="Footer"/>
            <w:ind w:left="709" w:hanging="709"/>
            <w:jc w:val="right"/>
          </w:pPr>
        </w:p>
      </w:tc>
    </w:tr>
  </w:tbl>
  <w:p w:rsidR="00594C1D" w:rsidRDefault="00594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1D" w:rsidRDefault="00594C1D" w:rsidP="00FB3830">
      <w:pPr>
        <w:spacing w:after="0" w:line="240" w:lineRule="auto"/>
      </w:pPr>
      <w:r>
        <w:separator/>
      </w:r>
    </w:p>
  </w:footnote>
  <w:footnote w:type="continuationSeparator" w:id="0">
    <w:p w:rsidR="00594C1D" w:rsidRDefault="00594C1D" w:rsidP="00FB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20" w:rsidRDefault="00B46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20" w:rsidRDefault="00B46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20" w:rsidRDefault="00B46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0C6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8F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8C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44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83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15:restartNumberingAfterBreak="0">
    <w:nsid w:val="0DF94E0F"/>
    <w:multiLevelType w:val="multilevel"/>
    <w:tmpl w:val="0E4CBBB8"/>
    <w:numStyleLink w:val="Bullet"/>
  </w:abstractNum>
  <w:abstractNum w:abstractNumId="13" w15:restartNumberingAfterBreak="0">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4" w15:restartNumberingAfterBreak="0">
    <w:nsid w:val="51C35966"/>
    <w:multiLevelType w:val="multilevel"/>
    <w:tmpl w:val="7E363FD0"/>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1"/>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
    <w:docVar w:name="TMS_Office_ID" w:val="5"/>
    <w:docVar w:name="TMS_Template_ID" w:val="367"/>
    <w:docVar w:name="TMS_Unit_ID" w:val="30"/>
  </w:docVars>
  <w:rsids>
    <w:rsidRoot w:val="00B62B52"/>
    <w:rsid w:val="00006264"/>
    <w:rsid w:val="00022D6B"/>
    <w:rsid w:val="000259C1"/>
    <w:rsid w:val="00025F93"/>
    <w:rsid w:val="00047A43"/>
    <w:rsid w:val="000C76C6"/>
    <w:rsid w:val="000D0D2F"/>
    <w:rsid w:val="000F6EAB"/>
    <w:rsid w:val="00104A1D"/>
    <w:rsid w:val="001160D5"/>
    <w:rsid w:val="0012018D"/>
    <w:rsid w:val="00147839"/>
    <w:rsid w:val="00150DC4"/>
    <w:rsid w:val="00153CD0"/>
    <w:rsid w:val="00192441"/>
    <w:rsid w:val="00195C1E"/>
    <w:rsid w:val="001B1FAC"/>
    <w:rsid w:val="001E5BEB"/>
    <w:rsid w:val="001F1640"/>
    <w:rsid w:val="001F265C"/>
    <w:rsid w:val="00206B03"/>
    <w:rsid w:val="002160C0"/>
    <w:rsid w:val="00225BCD"/>
    <w:rsid w:val="00231AC4"/>
    <w:rsid w:val="00242184"/>
    <w:rsid w:val="0027660F"/>
    <w:rsid w:val="002768B4"/>
    <w:rsid w:val="00285D00"/>
    <w:rsid w:val="002D6B38"/>
    <w:rsid w:val="0032504A"/>
    <w:rsid w:val="00337597"/>
    <w:rsid w:val="00363400"/>
    <w:rsid w:val="003648BC"/>
    <w:rsid w:val="00371FC2"/>
    <w:rsid w:val="003A4CB4"/>
    <w:rsid w:val="003B42D2"/>
    <w:rsid w:val="003C2725"/>
    <w:rsid w:val="003D201B"/>
    <w:rsid w:val="003D57D3"/>
    <w:rsid w:val="003E5053"/>
    <w:rsid w:val="004322C1"/>
    <w:rsid w:val="00454F85"/>
    <w:rsid w:val="00457462"/>
    <w:rsid w:val="00486735"/>
    <w:rsid w:val="00491036"/>
    <w:rsid w:val="004B1352"/>
    <w:rsid w:val="004D6F44"/>
    <w:rsid w:val="004E777B"/>
    <w:rsid w:val="004F58C6"/>
    <w:rsid w:val="005361E3"/>
    <w:rsid w:val="00546FBA"/>
    <w:rsid w:val="00567016"/>
    <w:rsid w:val="005671E7"/>
    <w:rsid w:val="005815B3"/>
    <w:rsid w:val="00593FA3"/>
    <w:rsid w:val="00594C1D"/>
    <w:rsid w:val="005B1295"/>
    <w:rsid w:val="005C68B1"/>
    <w:rsid w:val="005F020C"/>
    <w:rsid w:val="00612A68"/>
    <w:rsid w:val="00623276"/>
    <w:rsid w:val="0063601A"/>
    <w:rsid w:val="00647B20"/>
    <w:rsid w:val="00675F90"/>
    <w:rsid w:val="00681B99"/>
    <w:rsid w:val="006825EE"/>
    <w:rsid w:val="006938CB"/>
    <w:rsid w:val="006A73E0"/>
    <w:rsid w:val="006D1020"/>
    <w:rsid w:val="006F2020"/>
    <w:rsid w:val="007050B2"/>
    <w:rsid w:val="00737A8E"/>
    <w:rsid w:val="00756F29"/>
    <w:rsid w:val="00772D1D"/>
    <w:rsid w:val="00790785"/>
    <w:rsid w:val="007A5C77"/>
    <w:rsid w:val="007B49D4"/>
    <w:rsid w:val="007C0CA1"/>
    <w:rsid w:val="007C4B14"/>
    <w:rsid w:val="007E0059"/>
    <w:rsid w:val="00817D57"/>
    <w:rsid w:val="008223A4"/>
    <w:rsid w:val="00822876"/>
    <w:rsid w:val="008301F3"/>
    <w:rsid w:val="00834B5D"/>
    <w:rsid w:val="0083691E"/>
    <w:rsid w:val="0086270F"/>
    <w:rsid w:val="00864808"/>
    <w:rsid w:val="00880CCB"/>
    <w:rsid w:val="00896C5F"/>
    <w:rsid w:val="008B36EE"/>
    <w:rsid w:val="008C2FA2"/>
    <w:rsid w:val="008D4A5D"/>
    <w:rsid w:val="008D688A"/>
    <w:rsid w:val="008E2769"/>
    <w:rsid w:val="008E3984"/>
    <w:rsid w:val="008E5464"/>
    <w:rsid w:val="008F4875"/>
    <w:rsid w:val="008F5924"/>
    <w:rsid w:val="00925B45"/>
    <w:rsid w:val="009356BE"/>
    <w:rsid w:val="00966EC3"/>
    <w:rsid w:val="0097202F"/>
    <w:rsid w:val="00985E8F"/>
    <w:rsid w:val="00987E3C"/>
    <w:rsid w:val="00990B71"/>
    <w:rsid w:val="009B289D"/>
    <w:rsid w:val="009D0176"/>
    <w:rsid w:val="009D341A"/>
    <w:rsid w:val="009F66CC"/>
    <w:rsid w:val="00A067A4"/>
    <w:rsid w:val="00A07E9D"/>
    <w:rsid w:val="00A13A89"/>
    <w:rsid w:val="00A15758"/>
    <w:rsid w:val="00A41E07"/>
    <w:rsid w:val="00A46FF2"/>
    <w:rsid w:val="00A54BA5"/>
    <w:rsid w:val="00A73966"/>
    <w:rsid w:val="00A73995"/>
    <w:rsid w:val="00A74A6C"/>
    <w:rsid w:val="00A845A0"/>
    <w:rsid w:val="00AC57B9"/>
    <w:rsid w:val="00AD76FD"/>
    <w:rsid w:val="00AE3300"/>
    <w:rsid w:val="00AF2478"/>
    <w:rsid w:val="00B11240"/>
    <w:rsid w:val="00B46820"/>
    <w:rsid w:val="00B46FA4"/>
    <w:rsid w:val="00B5482E"/>
    <w:rsid w:val="00B54F01"/>
    <w:rsid w:val="00B62B52"/>
    <w:rsid w:val="00BA0E20"/>
    <w:rsid w:val="00BA4773"/>
    <w:rsid w:val="00BC03A8"/>
    <w:rsid w:val="00BD14F5"/>
    <w:rsid w:val="00BD4DB0"/>
    <w:rsid w:val="00BD707C"/>
    <w:rsid w:val="00BE17FC"/>
    <w:rsid w:val="00BF0709"/>
    <w:rsid w:val="00C01D20"/>
    <w:rsid w:val="00C218D5"/>
    <w:rsid w:val="00C25D47"/>
    <w:rsid w:val="00C41A4C"/>
    <w:rsid w:val="00C51332"/>
    <w:rsid w:val="00C732FA"/>
    <w:rsid w:val="00C92461"/>
    <w:rsid w:val="00CA698D"/>
    <w:rsid w:val="00CD3823"/>
    <w:rsid w:val="00CF0F3F"/>
    <w:rsid w:val="00D418A4"/>
    <w:rsid w:val="00D55BF7"/>
    <w:rsid w:val="00D62174"/>
    <w:rsid w:val="00D763B6"/>
    <w:rsid w:val="00D94BD3"/>
    <w:rsid w:val="00DA1EF8"/>
    <w:rsid w:val="00DA7918"/>
    <w:rsid w:val="00DC2A41"/>
    <w:rsid w:val="00DD369A"/>
    <w:rsid w:val="00DF6116"/>
    <w:rsid w:val="00E0747E"/>
    <w:rsid w:val="00E177A7"/>
    <w:rsid w:val="00E66AFD"/>
    <w:rsid w:val="00E7361D"/>
    <w:rsid w:val="00E857F5"/>
    <w:rsid w:val="00E85909"/>
    <w:rsid w:val="00E924B7"/>
    <w:rsid w:val="00EB05FC"/>
    <w:rsid w:val="00EB21F5"/>
    <w:rsid w:val="00EB6F43"/>
    <w:rsid w:val="00EE042D"/>
    <w:rsid w:val="00EE5306"/>
    <w:rsid w:val="00EF652B"/>
    <w:rsid w:val="00F06769"/>
    <w:rsid w:val="00F2114F"/>
    <w:rsid w:val="00F23D61"/>
    <w:rsid w:val="00F278F0"/>
    <w:rsid w:val="00F66737"/>
    <w:rsid w:val="00F93945"/>
    <w:rsid w:val="00F964C8"/>
    <w:rsid w:val="00FA0C1C"/>
    <w:rsid w:val="00FB3830"/>
    <w:rsid w:val="00FB6B53"/>
    <w:rsid w:val="00FC39EC"/>
    <w:rsid w:val="00FE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37E1D31-FCC3-4766-A5FA-B8D8D8B5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1D"/>
    <w:pPr>
      <w:spacing w:after="280" w:line="280" w:lineRule="atLeast"/>
    </w:pPr>
    <w:rPr>
      <w:rFonts w:ascii="Arial" w:hAnsi="Arial"/>
      <w:kern w:val="16"/>
      <w:sz w:val="20"/>
    </w:rPr>
  </w:style>
  <w:style w:type="paragraph" w:styleId="Heading1">
    <w:name w:val="heading 1"/>
    <w:basedOn w:val="Normal"/>
    <w:next w:val="Normal"/>
    <w:link w:val="Heading1Char"/>
    <w:uiPriority w:val="9"/>
    <w:qFormat/>
    <w:rsid w:val="00022D6B"/>
    <w:pPr>
      <w:keepNext/>
      <w:numPr>
        <w:numId w:val="20"/>
      </w:numPr>
      <w:outlineLvl w:val="0"/>
    </w:pPr>
    <w:rPr>
      <w:rFonts w:eastAsiaTheme="majorEastAsia" w:cstheme="majorBidi"/>
      <w:szCs w:val="36"/>
    </w:rPr>
  </w:style>
  <w:style w:type="paragraph" w:styleId="Heading2">
    <w:name w:val="heading 2"/>
    <w:basedOn w:val="Normal"/>
    <w:next w:val="Normal"/>
    <w:link w:val="Heading2Char"/>
    <w:uiPriority w:val="9"/>
    <w:unhideWhenUsed/>
    <w:qFormat/>
    <w:rsid w:val="00AE3300"/>
    <w:pPr>
      <w:numPr>
        <w:ilvl w:val="1"/>
        <w:numId w:val="20"/>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612A68"/>
    <w:pPr>
      <w:numPr>
        <w:ilvl w:val="2"/>
        <w:numId w:val="20"/>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AE3300"/>
    <w:pPr>
      <w:numPr>
        <w:ilvl w:val="3"/>
        <w:numId w:val="20"/>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rsid w:val="00AE3300"/>
    <w:pPr>
      <w:numPr>
        <w:ilvl w:val="4"/>
        <w:numId w:val="20"/>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E3300"/>
    <w:pPr>
      <w:numPr>
        <w:ilvl w:val="5"/>
        <w:numId w:val="20"/>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rsid w:val="00AE3300"/>
    <w:pPr>
      <w:numPr>
        <w:ilvl w:val="6"/>
        <w:numId w:val="20"/>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rsid w:val="00AE3300"/>
    <w:pPr>
      <w:numPr>
        <w:ilvl w:val="7"/>
        <w:numId w:val="20"/>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rsid w:val="00AE3300"/>
    <w:pPr>
      <w:numPr>
        <w:ilvl w:val="8"/>
        <w:numId w:val="20"/>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B5482E"/>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B5482E"/>
    <w:rPr>
      <w:rFonts w:ascii="Arial" w:eastAsiaTheme="minorHAnsi" w:hAnsi="Arial"/>
      <w:b/>
      <w:kern w:val="16"/>
      <w:sz w:val="32"/>
      <w:lang w:eastAsia="en-US"/>
    </w:rPr>
  </w:style>
  <w:style w:type="paragraph" w:styleId="Subtitle">
    <w:name w:val="Subtitle"/>
    <w:basedOn w:val="Normal"/>
    <w:link w:val="Subtitl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B5482E"/>
    <w:rPr>
      <w:rFonts w:ascii="Arial" w:eastAsiaTheme="minorHAnsi" w:hAnsi="Arial"/>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B5482E"/>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B5482E"/>
    <w:rPr>
      <w:rFonts w:ascii="Arial" w:eastAsiaTheme="minorHAnsi" w:hAnsi="Arial"/>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9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color w:val="000000" w:themeColor="text1"/>
      <w:sz w:val="32"/>
      <w:szCs w:val="32"/>
      <w:lang w:eastAsia="en-US"/>
    </w:rPr>
  </w:style>
  <w:style w:type="paragraph" w:styleId="ListParagraph">
    <w:name w:val="List Paragraph"/>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sid w:val="00022D6B"/>
    <w:rPr>
      <w:rFonts w:ascii="Arial" w:eastAsiaTheme="majorEastAsia" w:hAnsi="Arial" w:cstheme="majorBidi"/>
      <w:kern w:val="16"/>
      <w:sz w:val="20"/>
      <w:szCs w:val="36"/>
    </w:rPr>
  </w:style>
  <w:style w:type="character" w:customStyle="1" w:styleId="Heading2Char">
    <w:name w:val="Heading 2 Char"/>
    <w:basedOn w:val="DefaultParagraphFont"/>
    <w:link w:val="Heading2"/>
    <w:uiPriority w:val="9"/>
    <w:rsid w:val="00AE3300"/>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sid w:val="00612A68"/>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B5482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B5482E"/>
    <w:rPr>
      <w:rFonts w:ascii="Arial" w:eastAsiaTheme="minorHAnsi" w:hAnsi="Arial"/>
      <w:kern w:val="16"/>
      <w:sz w:val="20"/>
      <w:lang w:eastAsia="en-US"/>
    </w:rPr>
  </w:style>
  <w:style w:type="paragraph" w:styleId="Footer">
    <w:name w:val="footer"/>
    <w:basedOn w:val="Normal"/>
    <w:link w:val="FooterChar"/>
    <w:uiPriority w:val="79"/>
    <w:rsid w:val="00FC39EC"/>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sid w:val="00FC39EC"/>
    <w:rPr>
      <w:rFonts w:ascii="Arial" w:eastAsiaTheme="minorHAnsi" w:hAnsi="Arial"/>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20"/>
      </w:numPr>
    </w:pPr>
  </w:style>
  <w:style w:type="paragraph" w:customStyle="1" w:styleId="BackSheet">
    <w:name w:val="BackSheet"/>
    <w:basedOn w:val="Normal"/>
    <w:rsid w:val="00B5482E"/>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eastAsiaTheme="minorHAnsi" w:hAnsi="Tahoma"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rsid w:val="00B5482E"/>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sid w:val="00B5482E"/>
    <w:rPr>
      <w:rFonts w:ascii="Arial" w:eastAsiaTheme="minorHAnsi" w:hAnsi="Arial"/>
      <w:kern w:val="16"/>
      <w:sz w:val="20"/>
      <w:lang w:eastAsia="en-US"/>
    </w:rPr>
  </w:style>
  <w:style w:type="paragraph" w:styleId="BodyTextIndent">
    <w:name w:val="Body Text Indent"/>
    <w:basedOn w:val="Normal"/>
    <w:link w:val="BodyTextIndentChar"/>
    <w:uiPriority w:val="9"/>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B5482E"/>
    <w:rPr>
      <w:rFonts w:ascii="Arial" w:eastAsiaTheme="minorHAnsi" w:hAnsi="Arial"/>
      <w:kern w:val="16"/>
      <w:sz w:val="20"/>
      <w:lang w:eastAsia="en-US"/>
    </w:rPr>
  </w:style>
  <w:style w:type="numbering" w:customStyle="1" w:styleId="Bullet">
    <w:name w:val="Bullet"/>
    <w:uiPriority w:val="99"/>
    <w:rsid w:val="00E7361D"/>
    <w:pPr>
      <w:numPr>
        <w:numId w:val="21"/>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semiHidden/>
    <w:unhideWhenUsed/>
    <w:rsid w:val="00B5482E"/>
    <w:pPr>
      <w:spacing w:line="240" w:lineRule="auto"/>
    </w:pPr>
    <w:rPr>
      <w:szCs w:val="20"/>
    </w:rPr>
  </w:style>
  <w:style w:type="character" w:customStyle="1" w:styleId="CommentTextChar">
    <w:name w:val="Comment Text Char"/>
    <w:basedOn w:val="DefaultParagraphFont"/>
    <w:link w:val="CommentText"/>
    <w:semiHidden/>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B5482E"/>
    <w:rPr>
      <w:rFonts w:ascii="Arial" w:eastAsiaTheme="minorHAnsi" w:hAnsi="Arial"/>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uiPriority w:val="99"/>
    <w:semiHidden/>
    <w:rsid w:val="00B5482E"/>
    <w:rPr>
      <w:rFonts w:ascii="Arial" w:hAnsi="Arial"/>
      <w:b/>
      <w:color w:val="auto"/>
      <w:kern w:val="16"/>
      <w:position w:val="6"/>
      <w:sz w:val="14"/>
      <w:u w:val="none"/>
    </w:rPr>
  </w:style>
  <w:style w:type="paragraph" w:styleId="FootnoteText">
    <w:name w:val="footnote text"/>
    <w:basedOn w:val="Normal"/>
    <w:link w:val="Foot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sid w:val="00B5482E"/>
    <w:rPr>
      <w:rFonts w:ascii="Arial" w:eastAsiaTheme="minorHAnsi" w:hAnsi="Arial"/>
      <w:kern w:val="16"/>
      <w:sz w:val="16"/>
      <w:lang w:eastAsia="en-US"/>
    </w:rPr>
  </w:style>
  <w:style w:type="paragraph" w:customStyle="1" w:styleId="FrontSheet">
    <w:name w:val="FrontSheet"/>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B5482E"/>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B5482E"/>
    <w:rPr>
      <w:color w:val="0563C1" w:themeColor="hyperlink"/>
      <w:u w:val="single"/>
    </w:rPr>
  </w:style>
  <w:style w:type="paragraph" w:customStyle="1" w:styleId="Indent1">
    <w:name w:val="Indent1"/>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E7361D"/>
    <w:pPr>
      <w:numPr>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E7361D"/>
    <w:pPr>
      <w:numPr>
        <w:ilvl w:val="1"/>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E7361D"/>
    <w:pPr>
      <w:numPr>
        <w:ilvl w:val="2"/>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E7361D"/>
    <w:pPr>
      <w:numPr>
        <w:ilvl w:val="3"/>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E7361D"/>
    <w:pPr>
      <w:numPr>
        <w:ilvl w:val="4"/>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E7361D"/>
    <w:pPr>
      <w:numPr>
        <w:ilvl w:val="5"/>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E7361D"/>
    <w:pPr>
      <w:numPr>
        <w:ilvl w:val="6"/>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E7361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B5482E"/>
    <w:rPr>
      <w:rFonts w:ascii="Times New Roman" w:hAnsi="Times New Roman" w:cs="Times New Roman"/>
      <w:sz w:val="24"/>
      <w:szCs w:val="24"/>
    </w:rPr>
  </w:style>
  <w:style w:type="paragraph" w:customStyle="1" w:styleId="ListBullet9">
    <w:name w:val="List Bullet 9"/>
    <w:basedOn w:val="Normal"/>
    <w:uiPriority w:val="99"/>
    <w:unhideWhenUsed/>
    <w:qFormat/>
    <w:rsid w:val="00E7361D"/>
    <w:pPr>
      <w:numPr>
        <w:ilvl w:val="8"/>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B5482E"/>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B5482E"/>
    <w:rPr>
      <w:rFonts w:ascii="Arial" w:eastAsiaTheme="minorHAnsi" w:hAnsi="Arial"/>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B5482E"/>
    <w:rPr>
      <w:rFonts w:ascii="Arial" w:eastAsiaTheme="minorHAnsi" w:hAnsi="Arial"/>
      <w:kern w:val="16"/>
      <w:sz w:val="20"/>
      <w:lang w:eastAsia="en-US"/>
    </w:rPr>
  </w:style>
  <w:style w:type="paragraph" w:styleId="TableofAuthorities">
    <w:name w:val="table of authoriti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B5482E"/>
    <w:pPr>
      <w:tabs>
        <w:tab w:val="right" w:pos="8363"/>
      </w:tabs>
    </w:pPr>
    <w:rPr>
      <w:rFonts w:eastAsiaTheme="minorHAnsi"/>
      <w:lang w:eastAsia="en-US"/>
    </w:rPr>
  </w:style>
  <w:style w:type="paragraph" w:styleId="TOC2">
    <w:name w:val="toc 2"/>
    <w:basedOn w:val="Normal"/>
    <w:next w:val="Normal"/>
    <w:autoRedefine/>
    <w:uiPriority w:val="39"/>
    <w:unhideWhenUsed/>
    <w:rsid w:val="00B5482E"/>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B5482E"/>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B5482E"/>
    <w:pPr>
      <w:spacing w:after="0"/>
      <w:ind w:left="1400"/>
    </w:pPr>
    <w:rPr>
      <w:rFonts w:eastAsiaTheme="minorHAnsi"/>
      <w:lang w:eastAsia="en-US"/>
    </w:rPr>
  </w:style>
  <w:style w:type="paragraph" w:styleId="TOC9">
    <w:name w:val="toc 9"/>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paragraph" w:customStyle="1" w:styleId="FooterBackPage">
    <w:name w:val="Footer Back Page"/>
    <w:basedOn w:val="Footer"/>
    <w:rsid w:val="008F4875"/>
    <w:pPr>
      <w:spacing w:before="0" w:after="28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D48E-3F70-431C-8CCD-52489624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2242</Words>
  <Characters>11329</Characters>
  <Application>Microsoft Office Word</Application>
  <DocSecurity>0</DocSecurity>
  <Lines>194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CE</vt:lpwstr>
  </property>
  <property fmtid="{D5CDD505-2E9C-101B-9397-08002B2CF9AE}" pid="3" name="udp_DocID">
    <vt:lpwstr>545942076</vt:lpwstr>
  </property>
  <property fmtid="{D5CDD505-2E9C-101B-9397-08002B2CF9AE}" pid="4" name="udp_CMNumber">
    <vt:lpwstr>224109/10013</vt:lpwstr>
  </property>
  <property fmtid="{D5CDD505-2E9C-101B-9397-08002B2CF9AE}" pid="5" name="udp_Date">
    <vt:lpwstr>12 September 2017</vt:lpwstr>
  </property>
  <property fmtid="{D5CDD505-2E9C-101B-9397-08002B2CF9AE}" pid="6" name="udp_Author">
    <vt:lpwstr>RCS</vt:lpwstr>
  </property>
</Properties>
</file>