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C0" w:rsidRDefault="006166BC" w:rsidP="006166BC">
      <w:pPr>
        <w:jc w:val="center"/>
        <w:rPr>
          <w:b/>
        </w:rPr>
      </w:pPr>
      <w:bookmarkStart w:id="0" w:name="_GoBack"/>
      <w:bookmarkEnd w:id="0"/>
      <w:r>
        <w:rPr>
          <w:b/>
        </w:rPr>
        <w:t>Regulation 13 Cross Check</w:t>
      </w:r>
    </w:p>
    <w:p w:rsidR="006166BC" w:rsidRDefault="006166BC" w:rsidP="006166BC">
      <w:pPr>
        <w:jc w:val="center"/>
        <w:rPr>
          <w:b/>
        </w:rPr>
      </w:pPr>
    </w:p>
    <w:tbl>
      <w:tblPr>
        <w:tblStyle w:val="TableGrid"/>
        <w:tblW w:w="0" w:type="auto"/>
        <w:tblLook w:val="04A0" w:firstRow="1" w:lastRow="0" w:firstColumn="1" w:lastColumn="0" w:noHBand="0" w:noVBand="1"/>
      </w:tblPr>
      <w:tblGrid>
        <w:gridCol w:w="6974"/>
        <w:gridCol w:w="6974"/>
      </w:tblGrid>
      <w:tr w:rsidR="006166BC" w:rsidTr="006166BC">
        <w:tc>
          <w:tcPr>
            <w:tcW w:w="6974" w:type="dxa"/>
          </w:tcPr>
          <w:p w:rsidR="006166BC" w:rsidRPr="006166BC" w:rsidRDefault="006166BC" w:rsidP="006166BC">
            <w:pPr>
              <w:jc w:val="center"/>
              <w:rPr>
                <w:b/>
              </w:rPr>
            </w:pPr>
            <w:r>
              <w:rPr>
                <w:b/>
              </w:rPr>
              <w:t>Requirement</w:t>
            </w:r>
          </w:p>
        </w:tc>
        <w:tc>
          <w:tcPr>
            <w:tcW w:w="6974" w:type="dxa"/>
          </w:tcPr>
          <w:p w:rsidR="006166BC" w:rsidRDefault="006166BC" w:rsidP="006166BC">
            <w:pPr>
              <w:jc w:val="center"/>
              <w:rPr>
                <w:b/>
              </w:rPr>
            </w:pPr>
            <w:r>
              <w:rPr>
                <w:b/>
              </w:rPr>
              <w:t>Cross Check</w:t>
            </w:r>
          </w:p>
        </w:tc>
      </w:tr>
      <w:tr w:rsidR="006166BC" w:rsidTr="006166BC">
        <w:tc>
          <w:tcPr>
            <w:tcW w:w="6974" w:type="dxa"/>
          </w:tcPr>
          <w:p w:rsidR="006166BC" w:rsidRDefault="006166BC" w:rsidP="006166BC">
            <w:pPr>
              <w:jc w:val="center"/>
              <w:rPr>
                <w:b/>
              </w:rPr>
            </w:pPr>
          </w:p>
        </w:tc>
        <w:tc>
          <w:tcPr>
            <w:tcW w:w="6974" w:type="dxa"/>
          </w:tcPr>
          <w:p w:rsidR="006166BC" w:rsidRDefault="006166BC" w:rsidP="006166BC">
            <w:pPr>
              <w:jc w:val="center"/>
              <w:rPr>
                <w:b/>
              </w:rPr>
            </w:pPr>
          </w:p>
        </w:tc>
      </w:tr>
      <w:tr w:rsidR="006166BC" w:rsidTr="006166BC">
        <w:tc>
          <w:tcPr>
            <w:tcW w:w="6974" w:type="dxa"/>
          </w:tcPr>
          <w:p w:rsidR="006166BC" w:rsidRPr="006166BC" w:rsidRDefault="006166BC" w:rsidP="006166BC">
            <w:pPr>
              <w:rPr>
                <w:b/>
                <w:i/>
              </w:rPr>
            </w:pPr>
            <w:r>
              <w:rPr>
                <w:b/>
                <w:i/>
              </w:rPr>
              <w:t>Regulation 13(1)</w:t>
            </w:r>
          </w:p>
        </w:tc>
        <w:tc>
          <w:tcPr>
            <w:tcW w:w="6974" w:type="dxa"/>
          </w:tcPr>
          <w:p w:rsidR="006166BC" w:rsidRDefault="006166BC" w:rsidP="006166BC">
            <w:pPr>
              <w:jc w:val="center"/>
              <w:rPr>
                <w:b/>
              </w:rPr>
            </w:pPr>
          </w:p>
        </w:tc>
      </w:tr>
      <w:tr w:rsidR="006166BC" w:rsidTr="006166BC">
        <w:tc>
          <w:tcPr>
            <w:tcW w:w="6974" w:type="dxa"/>
          </w:tcPr>
          <w:p w:rsidR="006166BC" w:rsidRDefault="006166BC" w:rsidP="006166BC">
            <w:pPr>
              <w:jc w:val="center"/>
              <w:rPr>
                <w:b/>
              </w:rPr>
            </w:pPr>
          </w:p>
        </w:tc>
        <w:tc>
          <w:tcPr>
            <w:tcW w:w="6974" w:type="dxa"/>
          </w:tcPr>
          <w:p w:rsidR="006166BC" w:rsidRDefault="006166BC" w:rsidP="006166BC">
            <w:pPr>
              <w:jc w:val="center"/>
              <w:rPr>
                <w:b/>
              </w:rPr>
            </w:pPr>
          </w:p>
        </w:tc>
      </w:tr>
      <w:tr w:rsidR="00B218CB" w:rsidRPr="00B218CB" w:rsidTr="006166BC">
        <w:tc>
          <w:tcPr>
            <w:tcW w:w="6974" w:type="dxa"/>
          </w:tcPr>
          <w:p w:rsidR="006166BC" w:rsidRPr="00B218CB" w:rsidRDefault="006166BC" w:rsidP="006166BC">
            <w:pPr>
              <w:numPr>
                <w:ilvl w:val="0"/>
                <w:numId w:val="1"/>
              </w:numPr>
              <w:rPr>
                <w:rFonts w:ascii="Calibri" w:eastAsia="Times New Roman" w:hAnsi="Calibri" w:cs="Times New Roman"/>
              </w:rPr>
            </w:pPr>
            <w:r w:rsidRPr="00B218CB">
              <w:rPr>
                <w:rFonts w:eastAsia="Times New Roman"/>
              </w:rPr>
              <w:t>T</w:t>
            </w:r>
            <w:r w:rsidRPr="00B218CB">
              <w:rPr>
                <w:rFonts w:eastAsia="Times New Roman"/>
              </w:rPr>
              <w:t>he identity and the contact details of the controller and, where applicable, of the controller's representative</w:t>
            </w:r>
            <w:r w:rsidRPr="00B218CB">
              <w:rPr>
                <w:rFonts w:eastAsia="Times New Roman"/>
              </w:rPr>
              <w:t>.</w:t>
            </w:r>
          </w:p>
          <w:p w:rsidR="006166BC" w:rsidRPr="00B218CB" w:rsidRDefault="006166BC" w:rsidP="006166BC">
            <w:pPr>
              <w:ind w:left="720"/>
              <w:rPr>
                <w:rFonts w:ascii="Calibri" w:eastAsia="Times New Roman" w:hAnsi="Calibri" w:cs="Times New Roman"/>
              </w:rPr>
            </w:pPr>
          </w:p>
          <w:p w:rsidR="006166BC" w:rsidRPr="00B218CB" w:rsidRDefault="006166BC" w:rsidP="006166BC">
            <w:pPr>
              <w:numPr>
                <w:ilvl w:val="0"/>
                <w:numId w:val="1"/>
              </w:numPr>
              <w:rPr>
                <w:rFonts w:eastAsia="Times New Roman"/>
              </w:rPr>
            </w:pPr>
            <w:r w:rsidRPr="00B218CB">
              <w:rPr>
                <w:rFonts w:eastAsia="Times New Roman"/>
              </w:rPr>
              <w:t>T</w:t>
            </w:r>
            <w:r w:rsidRPr="00B218CB">
              <w:rPr>
                <w:rFonts w:eastAsia="Times New Roman"/>
              </w:rPr>
              <w:t>he contact details of the data protection officer, where applicable</w:t>
            </w:r>
            <w:r w:rsidRPr="00B218CB">
              <w:rPr>
                <w:rFonts w:eastAsia="Times New Roman"/>
              </w:rPr>
              <w:t>.</w:t>
            </w:r>
          </w:p>
          <w:p w:rsidR="006166BC" w:rsidRPr="00B218CB" w:rsidRDefault="006166BC" w:rsidP="006166BC">
            <w:pPr>
              <w:pStyle w:val="ListParagraph"/>
              <w:rPr>
                <w:rFonts w:eastAsia="Times New Roman"/>
              </w:rPr>
            </w:pPr>
          </w:p>
          <w:p w:rsidR="006166BC" w:rsidRPr="00B218CB" w:rsidRDefault="006166BC" w:rsidP="006166BC">
            <w:pPr>
              <w:ind w:left="720"/>
              <w:rPr>
                <w:rFonts w:eastAsia="Times New Roman"/>
              </w:rPr>
            </w:pPr>
          </w:p>
          <w:p w:rsidR="006166BC" w:rsidRPr="00B218CB" w:rsidRDefault="006166BC" w:rsidP="006166BC">
            <w:pPr>
              <w:numPr>
                <w:ilvl w:val="0"/>
                <w:numId w:val="1"/>
              </w:numPr>
              <w:rPr>
                <w:rFonts w:eastAsia="Times New Roman"/>
              </w:rPr>
            </w:pPr>
            <w:r w:rsidRPr="00B218CB">
              <w:rPr>
                <w:rFonts w:eastAsia="Times New Roman"/>
              </w:rPr>
              <w:t>T</w:t>
            </w:r>
            <w:r w:rsidRPr="00B218CB">
              <w:rPr>
                <w:rFonts w:eastAsia="Times New Roman"/>
              </w:rPr>
              <w:t>he purposes of the processing for which the personal data are intended as well as the legal basis for the processing</w:t>
            </w:r>
            <w:r w:rsidRPr="00B218CB">
              <w:rPr>
                <w:rFonts w:eastAsia="Times New Roman"/>
              </w:rPr>
              <w:t xml:space="preserve">.  </w:t>
            </w:r>
          </w:p>
          <w:p w:rsidR="006166BC" w:rsidRPr="00B218CB" w:rsidRDefault="006166BC" w:rsidP="006166BC">
            <w:pPr>
              <w:ind w:left="720"/>
              <w:rPr>
                <w:rFonts w:eastAsia="Times New Roman"/>
              </w:rPr>
            </w:pPr>
          </w:p>
          <w:p w:rsidR="006166BC" w:rsidRPr="00B218CB" w:rsidRDefault="006166BC" w:rsidP="006166BC">
            <w:pPr>
              <w:numPr>
                <w:ilvl w:val="0"/>
                <w:numId w:val="1"/>
              </w:numPr>
              <w:rPr>
                <w:rFonts w:eastAsia="Times New Roman"/>
              </w:rPr>
            </w:pPr>
            <w:r w:rsidRPr="00B218CB">
              <w:rPr>
                <w:rFonts w:eastAsia="Times New Roman"/>
              </w:rPr>
              <w:t>W</w:t>
            </w:r>
            <w:r w:rsidRPr="00B218CB">
              <w:rPr>
                <w:rFonts w:eastAsia="Times New Roman"/>
              </w:rPr>
              <w:t xml:space="preserve">here the processing is based on point (f) of Article 6(1), the legitimate interests pursued by the controller or by a third party </w:t>
            </w:r>
          </w:p>
          <w:p w:rsidR="006166BC" w:rsidRPr="00B218CB" w:rsidRDefault="006166BC" w:rsidP="006166BC">
            <w:pPr>
              <w:pStyle w:val="ListParagraph"/>
              <w:rPr>
                <w:rFonts w:eastAsia="Times New Roman"/>
              </w:rPr>
            </w:pPr>
          </w:p>
          <w:p w:rsidR="006166BC" w:rsidRPr="00B218CB" w:rsidRDefault="006166BC" w:rsidP="006166BC">
            <w:pPr>
              <w:numPr>
                <w:ilvl w:val="0"/>
                <w:numId w:val="1"/>
              </w:numPr>
              <w:rPr>
                <w:rFonts w:eastAsia="Times New Roman"/>
              </w:rPr>
            </w:pPr>
            <w:r w:rsidRPr="00B218CB">
              <w:rPr>
                <w:rFonts w:eastAsia="Times New Roman"/>
              </w:rPr>
              <w:t>T</w:t>
            </w:r>
            <w:r w:rsidRPr="00B218CB">
              <w:rPr>
                <w:rFonts w:eastAsia="Times New Roman"/>
              </w:rPr>
              <w:t xml:space="preserve">he recipients or categories of recipients of the personal data, if any   </w:t>
            </w:r>
          </w:p>
          <w:p w:rsidR="006166BC" w:rsidRPr="00B218CB" w:rsidRDefault="006166BC" w:rsidP="006166BC">
            <w:pPr>
              <w:rPr>
                <w:rFonts w:eastAsia="Times New Roman"/>
              </w:rPr>
            </w:pPr>
          </w:p>
          <w:p w:rsidR="006166BC" w:rsidRPr="00B218CB" w:rsidRDefault="006166BC" w:rsidP="006166BC">
            <w:pPr>
              <w:numPr>
                <w:ilvl w:val="0"/>
                <w:numId w:val="1"/>
              </w:numPr>
              <w:rPr>
                <w:rFonts w:eastAsia="Times New Roman"/>
              </w:rPr>
            </w:pPr>
            <w:r w:rsidRPr="00B218CB">
              <w:rPr>
                <w:rFonts w:eastAsia="Times New Roman"/>
              </w:rPr>
              <w:t>W</w:t>
            </w:r>
            <w:r w:rsidRPr="00B218CB">
              <w:rPr>
                <w:rFonts w:eastAsia="Times New Roman"/>
              </w:rPr>
              <w:t>here applicable, the fact that the controller intends to transfer personal data to a third country or international organisation and the existence or absence of an adequacy decision by the Commission, or in the case of transfers referred to in Article 46 or 47, or the second subparagraph of Article 49(1), reference to the appropriate or suitable safeguards and the means by which to obtain a copy of them or where they have been made available</w:t>
            </w:r>
          </w:p>
          <w:p w:rsidR="006166BC" w:rsidRPr="00B218CB" w:rsidRDefault="006166BC" w:rsidP="006166BC">
            <w:pPr>
              <w:jc w:val="center"/>
              <w:rPr>
                <w:b/>
              </w:rPr>
            </w:pPr>
          </w:p>
        </w:tc>
        <w:tc>
          <w:tcPr>
            <w:tcW w:w="6974" w:type="dxa"/>
          </w:tcPr>
          <w:p w:rsidR="006166BC" w:rsidRPr="00B218CB" w:rsidRDefault="006166BC" w:rsidP="006166BC">
            <w:pPr>
              <w:rPr>
                <w:rFonts w:eastAsia="Times New Roman"/>
              </w:rPr>
            </w:pPr>
            <w:r w:rsidRPr="00B218CB">
              <w:rPr>
                <w:rFonts w:eastAsia="Times New Roman"/>
              </w:rPr>
              <w:t>T</w:t>
            </w:r>
            <w:r w:rsidRPr="00B218CB">
              <w:rPr>
                <w:rFonts w:eastAsia="Times New Roman"/>
              </w:rPr>
              <w:t>his is set out with the name of the Club (at the beginning) and the name of the contact (at the end)</w:t>
            </w:r>
          </w:p>
          <w:p w:rsidR="006166BC" w:rsidRPr="00B218CB" w:rsidRDefault="006166BC" w:rsidP="006166BC">
            <w:pPr>
              <w:rPr>
                <w:rFonts w:eastAsia="Times New Roman"/>
              </w:rPr>
            </w:pPr>
          </w:p>
          <w:p w:rsidR="006166BC" w:rsidRPr="00B218CB" w:rsidRDefault="006166BC" w:rsidP="006166BC">
            <w:pPr>
              <w:rPr>
                <w:rFonts w:eastAsia="Times New Roman"/>
              </w:rPr>
            </w:pPr>
            <w:r w:rsidRPr="00B218CB">
              <w:rPr>
                <w:rFonts w:eastAsia="Times New Roman"/>
              </w:rPr>
              <w:t>T</w:t>
            </w:r>
            <w:r w:rsidRPr="00B218CB">
              <w:rPr>
                <w:rFonts w:eastAsia="Times New Roman"/>
              </w:rPr>
              <w:t>his is not applicable unless a DPO is appointed</w:t>
            </w:r>
          </w:p>
          <w:p w:rsidR="006166BC" w:rsidRPr="00B218CB" w:rsidRDefault="006166BC" w:rsidP="006166BC">
            <w:pPr>
              <w:rPr>
                <w:rFonts w:eastAsia="Times New Roman"/>
              </w:rPr>
            </w:pPr>
          </w:p>
          <w:p w:rsidR="006166BC" w:rsidRPr="00B218CB" w:rsidRDefault="006166BC" w:rsidP="006166BC">
            <w:pPr>
              <w:rPr>
                <w:rFonts w:eastAsia="Times New Roman"/>
              </w:rPr>
            </w:pPr>
          </w:p>
          <w:p w:rsidR="006166BC" w:rsidRPr="00B218CB" w:rsidRDefault="006166BC" w:rsidP="006166BC">
            <w:pPr>
              <w:rPr>
                <w:rFonts w:eastAsia="Times New Roman"/>
              </w:rPr>
            </w:pPr>
            <w:r w:rsidRPr="00B218CB">
              <w:rPr>
                <w:rFonts w:eastAsia="Times New Roman"/>
              </w:rPr>
              <w:t>This is set out under “How your information is used”</w:t>
            </w:r>
          </w:p>
          <w:p w:rsidR="006166BC" w:rsidRPr="00B218CB" w:rsidRDefault="006166BC" w:rsidP="006166BC">
            <w:pPr>
              <w:rPr>
                <w:rFonts w:eastAsia="Times New Roman"/>
              </w:rPr>
            </w:pPr>
          </w:p>
          <w:p w:rsidR="006166BC" w:rsidRPr="00B218CB" w:rsidRDefault="006166BC" w:rsidP="006166BC">
            <w:pPr>
              <w:rPr>
                <w:rFonts w:eastAsia="Times New Roman"/>
              </w:rPr>
            </w:pPr>
          </w:p>
          <w:p w:rsidR="006166BC" w:rsidRPr="00B218CB" w:rsidRDefault="006166BC" w:rsidP="006166BC">
            <w:pPr>
              <w:rPr>
                <w:rFonts w:eastAsia="Times New Roman"/>
              </w:rPr>
            </w:pPr>
            <w:r w:rsidRPr="00B218CB">
              <w:rPr>
                <w:rFonts w:eastAsia="Times New Roman"/>
              </w:rPr>
              <w:t>T</w:t>
            </w:r>
            <w:r w:rsidRPr="00B218CB">
              <w:rPr>
                <w:rFonts w:eastAsia="Times New Roman"/>
              </w:rPr>
              <w:t xml:space="preserve">his is set out under </w:t>
            </w:r>
            <w:r w:rsidR="00933CB5" w:rsidRPr="00B218CB">
              <w:rPr>
                <w:rFonts w:eastAsia="Times New Roman"/>
              </w:rPr>
              <w:t>“How your information is used”</w:t>
            </w:r>
          </w:p>
          <w:p w:rsidR="006166BC" w:rsidRPr="00B218CB" w:rsidRDefault="006166BC" w:rsidP="006166BC">
            <w:pPr>
              <w:rPr>
                <w:rFonts w:eastAsia="Times New Roman"/>
              </w:rPr>
            </w:pPr>
          </w:p>
          <w:p w:rsidR="006166BC" w:rsidRPr="00B218CB" w:rsidRDefault="006166BC" w:rsidP="006166BC">
            <w:pPr>
              <w:rPr>
                <w:rFonts w:eastAsia="Times New Roman"/>
              </w:rPr>
            </w:pPr>
          </w:p>
          <w:p w:rsidR="006166BC" w:rsidRPr="00B218CB" w:rsidRDefault="006166BC" w:rsidP="006166BC">
            <w:pPr>
              <w:rPr>
                <w:rFonts w:eastAsia="Times New Roman"/>
              </w:rPr>
            </w:pPr>
            <w:r w:rsidRPr="00B218CB">
              <w:rPr>
                <w:rFonts w:eastAsia="Times New Roman"/>
              </w:rPr>
              <w:t>T</w:t>
            </w:r>
            <w:r w:rsidR="00933CB5" w:rsidRPr="00B218CB">
              <w:rPr>
                <w:rFonts w:eastAsia="Times New Roman"/>
              </w:rPr>
              <w:t>his is set out (negatively) under “Who can access information”</w:t>
            </w:r>
            <w:r w:rsidRPr="00B218CB">
              <w:rPr>
                <w:rFonts w:eastAsia="Times New Roman"/>
              </w:rPr>
              <w:t xml:space="preserve"> </w:t>
            </w:r>
          </w:p>
          <w:p w:rsidR="006166BC" w:rsidRPr="00B218CB" w:rsidRDefault="006166BC" w:rsidP="006166BC">
            <w:pPr>
              <w:rPr>
                <w:rFonts w:eastAsia="Times New Roman"/>
              </w:rPr>
            </w:pPr>
          </w:p>
          <w:p w:rsidR="006166BC" w:rsidRPr="00B218CB" w:rsidRDefault="006166BC" w:rsidP="006166BC">
            <w:pPr>
              <w:rPr>
                <w:rFonts w:eastAsia="Times New Roman"/>
              </w:rPr>
            </w:pPr>
          </w:p>
          <w:p w:rsidR="006166BC" w:rsidRPr="00B218CB" w:rsidRDefault="006166BC" w:rsidP="006166BC">
            <w:pPr>
              <w:rPr>
                <w:rFonts w:eastAsia="Times New Roman"/>
              </w:rPr>
            </w:pPr>
            <w:r w:rsidRPr="00B218CB">
              <w:rPr>
                <w:rFonts w:eastAsia="Times New Roman"/>
              </w:rPr>
              <w:t>T</w:t>
            </w:r>
            <w:r w:rsidRPr="00B218CB">
              <w:rPr>
                <w:rFonts w:eastAsia="Times New Roman"/>
              </w:rPr>
              <w:t>his is not applicable.</w:t>
            </w:r>
          </w:p>
          <w:p w:rsidR="006166BC" w:rsidRPr="00B218CB" w:rsidRDefault="006166BC" w:rsidP="006166BC">
            <w:pPr>
              <w:rPr>
                <w:rFonts w:eastAsia="Times New Roman"/>
              </w:rPr>
            </w:pPr>
          </w:p>
          <w:p w:rsidR="006166BC" w:rsidRPr="00B218CB" w:rsidRDefault="006166BC" w:rsidP="006166BC">
            <w:pPr>
              <w:rPr>
                <w:rFonts w:eastAsia="Times New Roman"/>
              </w:rPr>
            </w:pPr>
          </w:p>
          <w:p w:rsidR="006166BC" w:rsidRPr="00B218CB" w:rsidRDefault="006166BC" w:rsidP="006166BC">
            <w:pPr>
              <w:rPr>
                <w:rFonts w:eastAsia="Times New Roman"/>
              </w:rPr>
            </w:pPr>
          </w:p>
          <w:p w:rsidR="006166BC" w:rsidRPr="00B218CB" w:rsidRDefault="006166BC" w:rsidP="006166BC">
            <w:pPr>
              <w:rPr>
                <w:rFonts w:eastAsia="Times New Roman"/>
              </w:rPr>
            </w:pPr>
          </w:p>
          <w:p w:rsidR="006166BC" w:rsidRPr="00B218CB" w:rsidRDefault="006166BC" w:rsidP="006166BC">
            <w:pPr>
              <w:rPr>
                <w:b/>
              </w:rPr>
            </w:pPr>
          </w:p>
        </w:tc>
      </w:tr>
      <w:tr w:rsidR="00B218CB" w:rsidRPr="00B218CB" w:rsidTr="006166BC">
        <w:tc>
          <w:tcPr>
            <w:tcW w:w="6974" w:type="dxa"/>
          </w:tcPr>
          <w:p w:rsidR="006166BC" w:rsidRPr="00B218CB" w:rsidRDefault="006166BC" w:rsidP="006166BC">
            <w:pPr>
              <w:jc w:val="center"/>
              <w:rPr>
                <w:b/>
              </w:rPr>
            </w:pPr>
          </w:p>
        </w:tc>
        <w:tc>
          <w:tcPr>
            <w:tcW w:w="6974" w:type="dxa"/>
          </w:tcPr>
          <w:p w:rsidR="006166BC" w:rsidRPr="00B218CB" w:rsidRDefault="006166BC" w:rsidP="006166BC">
            <w:pPr>
              <w:jc w:val="center"/>
              <w:rPr>
                <w:b/>
              </w:rPr>
            </w:pPr>
          </w:p>
        </w:tc>
      </w:tr>
    </w:tbl>
    <w:p w:rsidR="006D4CD2" w:rsidRPr="00B218CB" w:rsidRDefault="006D4CD2">
      <w:r w:rsidRPr="00B218CB">
        <w:br w:type="page"/>
      </w:r>
    </w:p>
    <w:tbl>
      <w:tblPr>
        <w:tblStyle w:val="TableGrid"/>
        <w:tblW w:w="0" w:type="auto"/>
        <w:tblLook w:val="04A0" w:firstRow="1" w:lastRow="0" w:firstColumn="1" w:lastColumn="0" w:noHBand="0" w:noVBand="1"/>
      </w:tblPr>
      <w:tblGrid>
        <w:gridCol w:w="6974"/>
        <w:gridCol w:w="6974"/>
      </w:tblGrid>
      <w:tr w:rsidR="00B218CB" w:rsidRPr="00B218CB" w:rsidTr="006166BC">
        <w:tc>
          <w:tcPr>
            <w:tcW w:w="6974" w:type="dxa"/>
          </w:tcPr>
          <w:p w:rsidR="006166BC" w:rsidRPr="00B218CB" w:rsidRDefault="006166BC" w:rsidP="006166BC">
            <w:pPr>
              <w:rPr>
                <w:b/>
                <w:i/>
              </w:rPr>
            </w:pPr>
            <w:r w:rsidRPr="00B218CB">
              <w:rPr>
                <w:b/>
                <w:i/>
              </w:rPr>
              <w:lastRenderedPageBreak/>
              <w:t>Regulation 13(2)</w:t>
            </w:r>
          </w:p>
        </w:tc>
        <w:tc>
          <w:tcPr>
            <w:tcW w:w="6974" w:type="dxa"/>
          </w:tcPr>
          <w:p w:rsidR="006166BC" w:rsidRPr="00B218CB" w:rsidRDefault="006166BC" w:rsidP="006166BC">
            <w:pPr>
              <w:jc w:val="center"/>
              <w:rPr>
                <w:b/>
              </w:rPr>
            </w:pPr>
          </w:p>
        </w:tc>
      </w:tr>
      <w:tr w:rsidR="00B218CB" w:rsidRPr="00B218CB" w:rsidTr="006166BC">
        <w:tc>
          <w:tcPr>
            <w:tcW w:w="6974" w:type="dxa"/>
          </w:tcPr>
          <w:p w:rsidR="006166BC" w:rsidRPr="00B218CB" w:rsidRDefault="006166BC" w:rsidP="006166BC">
            <w:pPr>
              <w:jc w:val="center"/>
              <w:rPr>
                <w:b/>
              </w:rPr>
            </w:pPr>
          </w:p>
        </w:tc>
        <w:tc>
          <w:tcPr>
            <w:tcW w:w="6974" w:type="dxa"/>
          </w:tcPr>
          <w:p w:rsidR="006166BC" w:rsidRPr="00B218CB" w:rsidRDefault="006166BC" w:rsidP="006166BC">
            <w:pPr>
              <w:jc w:val="center"/>
              <w:rPr>
                <w:b/>
              </w:rPr>
            </w:pPr>
          </w:p>
        </w:tc>
      </w:tr>
      <w:tr w:rsidR="00B218CB" w:rsidRPr="00B218CB" w:rsidTr="006166BC">
        <w:tc>
          <w:tcPr>
            <w:tcW w:w="6974" w:type="dxa"/>
          </w:tcPr>
          <w:p w:rsidR="006166BC" w:rsidRPr="00B218CB" w:rsidRDefault="006D4CD2" w:rsidP="006166BC">
            <w:pPr>
              <w:numPr>
                <w:ilvl w:val="0"/>
                <w:numId w:val="2"/>
              </w:numPr>
              <w:rPr>
                <w:rFonts w:ascii="Calibri" w:eastAsia="Times New Roman" w:hAnsi="Calibri" w:cs="Times New Roman"/>
              </w:rPr>
            </w:pPr>
            <w:r w:rsidRPr="00B218CB">
              <w:rPr>
                <w:rFonts w:eastAsia="Times New Roman"/>
              </w:rPr>
              <w:t>T</w:t>
            </w:r>
            <w:r w:rsidR="006166BC" w:rsidRPr="00B218CB">
              <w:rPr>
                <w:rFonts w:eastAsia="Times New Roman"/>
              </w:rPr>
              <w:t>he period for which the personal data will be stored, or if that is not possible, the criteria used to determine that period;</w:t>
            </w:r>
          </w:p>
          <w:p w:rsidR="006D4CD2" w:rsidRPr="00B218CB" w:rsidRDefault="006D4CD2" w:rsidP="006D4CD2">
            <w:pPr>
              <w:ind w:left="720"/>
              <w:rPr>
                <w:rFonts w:ascii="Calibri" w:eastAsia="Times New Roman" w:hAnsi="Calibri" w:cs="Times New Roman"/>
              </w:rPr>
            </w:pPr>
          </w:p>
          <w:p w:rsidR="006166BC" w:rsidRPr="00B218CB" w:rsidRDefault="006D4CD2" w:rsidP="006D4CD2">
            <w:pPr>
              <w:numPr>
                <w:ilvl w:val="0"/>
                <w:numId w:val="2"/>
              </w:numPr>
              <w:rPr>
                <w:rFonts w:ascii="Calibri" w:eastAsia="Times New Roman" w:hAnsi="Calibri" w:cs="Times New Roman"/>
              </w:rPr>
            </w:pPr>
            <w:r w:rsidRPr="00B218CB">
              <w:rPr>
                <w:rFonts w:eastAsia="Times New Roman"/>
              </w:rPr>
              <w:t>T</w:t>
            </w:r>
            <w:r w:rsidR="006166BC" w:rsidRPr="00B218CB">
              <w:rPr>
                <w:rFonts w:eastAsia="Times New Roman"/>
              </w:rPr>
              <w:t>he existence of the right to request from the controller access to and rectification or erasure of personal data or restriction of processing concerning the data subject or to object to processing as well a</w:t>
            </w:r>
            <w:r w:rsidRPr="00B218CB">
              <w:rPr>
                <w:rFonts w:eastAsia="Times New Roman"/>
              </w:rPr>
              <w:t>s the right to data portability</w:t>
            </w:r>
            <w:r w:rsidR="006166BC" w:rsidRPr="00B218CB">
              <w:rPr>
                <w:rFonts w:eastAsia="Times New Roman"/>
              </w:rPr>
              <w:t>;</w:t>
            </w:r>
          </w:p>
          <w:p w:rsidR="006D4CD2" w:rsidRPr="00B218CB" w:rsidRDefault="006D4CD2" w:rsidP="006D4CD2">
            <w:pPr>
              <w:pStyle w:val="ListParagraph"/>
              <w:rPr>
                <w:rFonts w:eastAsia="Times New Roman"/>
              </w:rPr>
            </w:pPr>
          </w:p>
          <w:p w:rsidR="006166BC" w:rsidRPr="00B218CB" w:rsidRDefault="006D4CD2" w:rsidP="006D4CD2">
            <w:pPr>
              <w:numPr>
                <w:ilvl w:val="0"/>
                <w:numId w:val="2"/>
              </w:numPr>
              <w:rPr>
                <w:rFonts w:eastAsia="Times New Roman"/>
              </w:rPr>
            </w:pPr>
            <w:r w:rsidRPr="00B218CB">
              <w:rPr>
                <w:rFonts w:eastAsia="Times New Roman"/>
              </w:rPr>
              <w:t>W</w:t>
            </w:r>
            <w:r w:rsidR="006166BC" w:rsidRPr="00B218CB">
              <w:rPr>
                <w:rFonts w:eastAsia="Times New Roman"/>
              </w:rPr>
              <w:t>here the processing is based on point (a) of Article 6(1) or point (a) of Article 9(2), the existence of the right to withdraw consent at any time, without affecting the lawfulness of processing based on consent before its withdrawal;</w:t>
            </w:r>
          </w:p>
          <w:p w:rsidR="006D4CD2" w:rsidRPr="00B218CB" w:rsidRDefault="006D4CD2" w:rsidP="006D4CD2">
            <w:pPr>
              <w:pStyle w:val="ListParagraph"/>
              <w:rPr>
                <w:rFonts w:eastAsia="Times New Roman"/>
              </w:rPr>
            </w:pPr>
          </w:p>
          <w:p w:rsidR="006D4CD2" w:rsidRPr="00B218CB" w:rsidRDefault="006D4CD2" w:rsidP="006D4CD2">
            <w:pPr>
              <w:numPr>
                <w:ilvl w:val="0"/>
                <w:numId w:val="2"/>
              </w:numPr>
              <w:rPr>
                <w:rFonts w:eastAsia="Times New Roman"/>
              </w:rPr>
            </w:pPr>
            <w:r w:rsidRPr="00B218CB">
              <w:rPr>
                <w:rFonts w:eastAsia="Times New Roman"/>
              </w:rPr>
              <w:t>T</w:t>
            </w:r>
            <w:r w:rsidR="006166BC" w:rsidRPr="00B218CB">
              <w:rPr>
                <w:rFonts w:eastAsia="Times New Roman"/>
              </w:rPr>
              <w:t>he right to lodge a complaint with a supervisory authority</w:t>
            </w:r>
            <w:r w:rsidRPr="00B218CB">
              <w:rPr>
                <w:rFonts w:eastAsia="Times New Roman"/>
              </w:rPr>
              <w:t>.</w:t>
            </w:r>
          </w:p>
          <w:p w:rsidR="006D4CD2" w:rsidRPr="00B218CB" w:rsidRDefault="006D4CD2" w:rsidP="006D4CD2">
            <w:pPr>
              <w:pStyle w:val="ListParagraph"/>
              <w:rPr>
                <w:rFonts w:eastAsia="Times New Roman"/>
              </w:rPr>
            </w:pPr>
          </w:p>
          <w:p w:rsidR="006D4CD2" w:rsidRPr="00B218CB" w:rsidRDefault="006D4CD2" w:rsidP="006D4CD2">
            <w:pPr>
              <w:rPr>
                <w:rFonts w:eastAsia="Times New Roman"/>
              </w:rPr>
            </w:pPr>
          </w:p>
          <w:p w:rsidR="006166BC" w:rsidRPr="00B218CB" w:rsidRDefault="006D4CD2" w:rsidP="006166BC">
            <w:pPr>
              <w:numPr>
                <w:ilvl w:val="0"/>
                <w:numId w:val="2"/>
              </w:numPr>
              <w:rPr>
                <w:rFonts w:eastAsia="Times New Roman"/>
              </w:rPr>
            </w:pPr>
            <w:r w:rsidRPr="00B218CB">
              <w:rPr>
                <w:rFonts w:eastAsia="Times New Roman"/>
              </w:rPr>
              <w:t>W</w:t>
            </w:r>
            <w:r w:rsidR="006166BC" w:rsidRPr="00B218CB">
              <w:rPr>
                <w:rFonts w:eastAsia="Times New Roman"/>
              </w:rPr>
              <w:t>hether the provision of personal data is a statutory or contractual requirement, or a requirement necessary to enter into a contract, as well as whether the data subject is obliged to provide the personal data and of the possible consequences of failure to p</w:t>
            </w:r>
            <w:r w:rsidRPr="00B218CB">
              <w:rPr>
                <w:rFonts w:eastAsia="Times New Roman"/>
              </w:rPr>
              <w:t>rovide such data.</w:t>
            </w:r>
          </w:p>
          <w:p w:rsidR="006D4CD2" w:rsidRPr="00B218CB" w:rsidRDefault="006D4CD2" w:rsidP="006D4CD2">
            <w:pPr>
              <w:ind w:left="720"/>
              <w:rPr>
                <w:rFonts w:eastAsia="Times New Roman"/>
              </w:rPr>
            </w:pPr>
          </w:p>
          <w:p w:rsidR="006166BC" w:rsidRPr="00B218CB" w:rsidRDefault="006D4CD2" w:rsidP="006D4CD2">
            <w:pPr>
              <w:numPr>
                <w:ilvl w:val="0"/>
                <w:numId w:val="2"/>
              </w:numPr>
              <w:rPr>
                <w:rFonts w:eastAsia="Times New Roman"/>
              </w:rPr>
            </w:pPr>
            <w:r w:rsidRPr="00B218CB">
              <w:rPr>
                <w:rFonts w:eastAsia="Times New Roman"/>
              </w:rPr>
              <w:t>T</w:t>
            </w:r>
            <w:r w:rsidR="006166BC" w:rsidRPr="00B218CB">
              <w:rPr>
                <w:rFonts w:eastAsia="Times New Roman"/>
              </w:rPr>
              <w:t>he existence of automated decision-making, including profiling, referred to in Article 22(1) and (4) and, at least in those cases, meaningful information about the logic involved, as well as the significance and the envisaged consequences of such p</w:t>
            </w:r>
            <w:r w:rsidRPr="00B218CB">
              <w:rPr>
                <w:rFonts w:eastAsia="Times New Roman"/>
              </w:rPr>
              <w:t>rocessing for the data subject.</w:t>
            </w:r>
          </w:p>
        </w:tc>
        <w:tc>
          <w:tcPr>
            <w:tcW w:w="6974" w:type="dxa"/>
          </w:tcPr>
          <w:p w:rsidR="006166BC" w:rsidRPr="00B218CB" w:rsidRDefault="006D4CD2" w:rsidP="006D4CD2">
            <w:pPr>
              <w:rPr>
                <w:rFonts w:eastAsia="Times New Roman"/>
              </w:rPr>
            </w:pPr>
            <w:r w:rsidRPr="00B218CB">
              <w:rPr>
                <w:rFonts w:eastAsia="Times New Roman"/>
              </w:rPr>
              <w:t>T</w:t>
            </w:r>
            <w:r w:rsidRPr="00B218CB">
              <w:rPr>
                <w:rFonts w:eastAsia="Times New Roman"/>
              </w:rPr>
              <w:t xml:space="preserve">his is set out </w:t>
            </w:r>
            <w:r w:rsidRPr="00B218CB">
              <w:rPr>
                <w:rFonts w:eastAsia="Times New Roman"/>
              </w:rPr>
              <w:t>under “How your information is used”.</w:t>
            </w:r>
          </w:p>
          <w:p w:rsidR="006D4CD2" w:rsidRPr="00B218CB" w:rsidRDefault="006D4CD2" w:rsidP="006D4CD2">
            <w:pPr>
              <w:rPr>
                <w:rFonts w:eastAsia="Times New Roman"/>
              </w:rPr>
            </w:pPr>
          </w:p>
          <w:p w:rsidR="006D4CD2" w:rsidRPr="00B218CB" w:rsidRDefault="006D4CD2" w:rsidP="006D4CD2">
            <w:pPr>
              <w:rPr>
                <w:rFonts w:eastAsia="Times New Roman"/>
              </w:rPr>
            </w:pPr>
          </w:p>
          <w:p w:rsidR="006D4CD2" w:rsidRPr="00B218CB" w:rsidRDefault="006D4CD2" w:rsidP="006D4CD2">
            <w:pPr>
              <w:rPr>
                <w:rFonts w:eastAsia="Times New Roman"/>
              </w:rPr>
            </w:pPr>
            <w:r w:rsidRPr="00B218CB">
              <w:rPr>
                <w:rFonts w:eastAsia="Times New Roman"/>
              </w:rPr>
              <w:t>T</w:t>
            </w:r>
            <w:r w:rsidRPr="00B218CB">
              <w:rPr>
                <w:rFonts w:eastAsia="Times New Roman"/>
              </w:rPr>
              <w:t>his is set out under “Rights”</w:t>
            </w:r>
          </w:p>
          <w:p w:rsidR="006D4CD2" w:rsidRPr="00B218CB" w:rsidRDefault="006D4CD2" w:rsidP="006D4CD2">
            <w:pPr>
              <w:rPr>
                <w:rFonts w:eastAsia="Times New Roman"/>
              </w:rPr>
            </w:pPr>
          </w:p>
          <w:p w:rsidR="006D4CD2" w:rsidRPr="00B218CB" w:rsidRDefault="006D4CD2" w:rsidP="006D4CD2">
            <w:pPr>
              <w:rPr>
                <w:rFonts w:eastAsia="Times New Roman"/>
              </w:rPr>
            </w:pPr>
          </w:p>
          <w:p w:rsidR="006D4CD2" w:rsidRPr="00B218CB" w:rsidRDefault="006D4CD2" w:rsidP="006D4CD2">
            <w:pPr>
              <w:rPr>
                <w:rFonts w:eastAsia="Times New Roman"/>
              </w:rPr>
            </w:pPr>
          </w:p>
          <w:p w:rsidR="006D4CD2" w:rsidRPr="00B218CB" w:rsidRDefault="006D4CD2" w:rsidP="006D4CD2">
            <w:pPr>
              <w:rPr>
                <w:rFonts w:eastAsia="Times New Roman"/>
              </w:rPr>
            </w:pPr>
          </w:p>
          <w:p w:rsidR="006D4CD2" w:rsidRPr="00B218CB" w:rsidRDefault="006D4CD2" w:rsidP="006D4CD2">
            <w:pPr>
              <w:rPr>
                <w:rFonts w:eastAsia="Times New Roman"/>
              </w:rPr>
            </w:pPr>
            <w:r w:rsidRPr="00B218CB">
              <w:rPr>
                <w:rFonts w:eastAsia="Times New Roman"/>
              </w:rPr>
              <w:t>N</w:t>
            </w:r>
            <w:r w:rsidRPr="00B218CB">
              <w:rPr>
                <w:rFonts w:eastAsia="Times New Roman"/>
              </w:rPr>
              <w:t>ot relevant because consent is not being relied upon</w:t>
            </w:r>
          </w:p>
          <w:p w:rsidR="006D4CD2" w:rsidRPr="00B218CB" w:rsidRDefault="006D4CD2" w:rsidP="006D4CD2">
            <w:pPr>
              <w:rPr>
                <w:rFonts w:eastAsia="Times New Roman"/>
              </w:rPr>
            </w:pPr>
          </w:p>
          <w:p w:rsidR="006D4CD2" w:rsidRPr="00B218CB" w:rsidRDefault="006D4CD2" w:rsidP="006D4CD2">
            <w:pPr>
              <w:rPr>
                <w:rFonts w:eastAsia="Times New Roman"/>
              </w:rPr>
            </w:pPr>
          </w:p>
          <w:p w:rsidR="006D4CD2" w:rsidRPr="00B218CB" w:rsidRDefault="006D4CD2" w:rsidP="006D4CD2">
            <w:pPr>
              <w:spacing w:after="160" w:line="259" w:lineRule="auto"/>
              <w:rPr>
                <w:rFonts w:eastAsia="Times New Roman"/>
              </w:rPr>
            </w:pPr>
          </w:p>
          <w:p w:rsidR="006D4CD2" w:rsidRPr="00B218CB" w:rsidRDefault="006D4CD2" w:rsidP="006D4CD2">
            <w:pPr>
              <w:spacing w:after="160" w:line="259" w:lineRule="auto"/>
              <w:rPr>
                <w:rFonts w:eastAsia="Times New Roman"/>
              </w:rPr>
            </w:pPr>
            <w:r w:rsidRPr="00B218CB">
              <w:rPr>
                <w:rFonts w:eastAsia="Times New Roman"/>
              </w:rPr>
              <w:t>T</w:t>
            </w:r>
            <w:r w:rsidRPr="00B218CB">
              <w:rPr>
                <w:rFonts w:eastAsia="Times New Roman"/>
              </w:rPr>
              <w:t>his is set out under “Rights”;</w:t>
            </w:r>
          </w:p>
          <w:p w:rsidR="006D4CD2" w:rsidRPr="00B218CB" w:rsidRDefault="006D4CD2" w:rsidP="006D4CD2">
            <w:pPr>
              <w:spacing w:after="160" w:line="259" w:lineRule="auto"/>
              <w:rPr>
                <w:rFonts w:eastAsia="Times New Roman"/>
              </w:rPr>
            </w:pPr>
          </w:p>
          <w:p w:rsidR="006D4CD2" w:rsidRPr="00B218CB" w:rsidRDefault="006D4CD2" w:rsidP="006D4CD2">
            <w:pPr>
              <w:spacing w:after="160" w:line="259" w:lineRule="auto"/>
              <w:rPr>
                <w:rFonts w:eastAsia="Times New Roman"/>
              </w:rPr>
            </w:pPr>
            <w:r w:rsidRPr="00B218CB">
              <w:rPr>
                <w:rFonts w:eastAsia="Times New Roman"/>
              </w:rPr>
              <w:t>T</w:t>
            </w:r>
            <w:r w:rsidRPr="00B218CB">
              <w:rPr>
                <w:rFonts w:eastAsia="Times New Roman"/>
              </w:rPr>
              <w:t>his not relevant</w:t>
            </w:r>
          </w:p>
          <w:p w:rsidR="006D4CD2" w:rsidRPr="00B218CB" w:rsidRDefault="006D4CD2" w:rsidP="006D4CD2">
            <w:pPr>
              <w:spacing w:after="160" w:line="259" w:lineRule="auto"/>
              <w:rPr>
                <w:rFonts w:eastAsia="Times New Roman"/>
              </w:rPr>
            </w:pPr>
          </w:p>
          <w:p w:rsidR="006D4CD2" w:rsidRPr="00B218CB" w:rsidRDefault="006D4CD2" w:rsidP="006D4CD2">
            <w:pPr>
              <w:spacing w:after="160" w:line="259" w:lineRule="auto"/>
              <w:rPr>
                <w:rFonts w:eastAsia="Times New Roman"/>
              </w:rPr>
            </w:pPr>
          </w:p>
          <w:p w:rsidR="006D4CD2" w:rsidRPr="00B218CB" w:rsidRDefault="006D4CD2" w:rsidP="006D4CD2">
            <w:pPr>
              <w:spacing w:after="160" w:line="259" w:lineRule="auto"/>
              <w:rPr>
                <w:rFonts w:eastAsia="Times New Roman"/>
              </w:rPr>
            </w:pPr>
            <w:r w:rsidRPr="00B218CB">
              <w:rPr>
                <w:rFonts w:eastAsia="Times New Roman"/>
              </w:rPr>
              <w:t>T</w:t>
            </w:r>
            <w:r w:rsidRPr="00B218CB">
              <w:rPr>
                <w:rFonts w:eastAsia="Times New Roman"/>
              </w:rPr>
              <w:t>his not relevant</w:t>
            </w:r>
          </w:p>
          <w:p w:rsidR="006D4CD2" w:rsidRPr="00B218CB" w:rsidRDefault="006D4CD2" w:rsidP="006D4CD2">
            <w:pPr>
              <w:rPr>
                <w:b/>
              </w:rPr>
            </w:pPr>
          </w:p>
        </w:tc>
      </w:tr>
    </w:tbl>
    <w:p w:rsidR="006166BC" w:rsidRPr="00B218CB" w:rsidRDefault="006166BC" w:rsidP="006166BC">
      <w:pPr>
        <w:jc w:val="center"/>
        <w:rPr>
          <w:b/>
        </w:rPr>
      </w:pPr>
    </w:p>
    <w:sectPr w:rsidR="006166BC" w:rsidRPr="00B218CB" w:rsidSect="006166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B56A4"/>
    <w:multiLevelType w:val="hybridMultilevel"/>
    <w:tmpl w:val="FC5026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136D66"/>
    <w:multiLevelType w:val="hybridMultilevel"/>
    <w:tmpl w:val="6CA21A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2567025"/>
    <w:multiLevelType w:val="hybridMultilevel"/>
    <w:tmpl w:val="FC5026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BC"/>
    <w:rsid w:val="0018452B"/>
    <w:rsid w:val="002327C0"/>
    <w:rsid w:val="00604688"/>
    <w:rsid w:val="006166BC"/>
    <w:rsid w:val="006D4CD2"/>
    <w:rsid w:val="00921AF6"/>
    <w:rsid w:val="00933CB5"/>
    <w:rsid w:val="00B218CB"/>
    <w:rsid w:val="00EC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95435-23C5-4AB0-81FE-0532FE9D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6BC"/>
    <w:pPr>
      <w:ind w:left="720"/>
      <w:contextualSpacing/>
    </w:pPr>
  </w:style>
  <w:style w:type="paragraph" w:styleId="BalloonText">
    <w:name w:val="Balloon Text"/>
    <w:basedOn w:val="Normal"/>
    <w:link w:val="BalloonTextChar"/>
    <w:uiPriority w:val="99"/>
    <w:semiHidden/>
    <w:unhideWhenUsed/>
    <w:rsid w:val="00933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49032">
      <w:bodyDiv w:val="1"/>
      <w:marLeft w:val="0"/>
      <w:marRight w:val="0"/>
      <w:marTop w:val="0"/>
      <w:marBottom w:val="0"/>
      <w:divBdr>
        <w:top w:val="none" w:sz="0" w:space="0" w:color="auto"/>
        <w:left w:val="none" w:sz="0" w:space="0" w:color="auto"/>
        <w:bottom w:val="none" w:sz="0" w:space="0" w:color="auto"/>
        <w:right w:val="none" w:sz="0" w:space="0" w:color="auto"/>
      </w:divBdr>
    </w:div>
    <w:div w:id="962348339">
      <w:bodyDiv w:val="1"/>
      <w:marLeft w:val="0"/>
      <w:marRight w:val="0"/>
      <w:marTop w:val="0"/>
      <w:marBottom w:val="0"/>
      <w:divBdr>
        <w:top w:val="none" w:sz="0" w:space="0" w:color="auto"/>
        <w:left w:val="none" w:sz="0" w:space="0" w:color="auto"/>
        <w:bottom w:val="none" w:sz="0" w:space="0" w:color="auto"/>
        <w:right w:val="none" w:sz="0" w:space="0" w:color="auto"/>
      </w:divBdr>
    </w:div>
    <w:div w:id="10481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Woodhouse</dc:creator>
  <cp:keywords/>
  <dc:description/>
  <cp:lastModifiedBy>Stephen Woodhouse</cp:lastModifiedBy>
  <cp:revision>2</cp:revision>
  <cp:lastPrinted>2018-05-21T18:09:00Z</cp:lastPrinted>
  <dcterms:created xsi:type="dcterms:W3CDTF">2018-05-21T18:28:00Z</dcterms:created>
  <dcterms:modified xsi:type="dcterms:W3CDTF">2018-05-21T18:28:00Z</dcterms:modified>
</cp:coreProperties>
</file>